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701"/>
        <w:pBdr/>
        <w:spacing w:after="0" w:afterAutospacing="0" w:before="0" w:beforeAutospacing="0" w:line="720" w:lineRule="exact"/>
        <w:ind/>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 xml:space="preserve">辽宁省</w:t>
      </w:r>
      <w:r>
        <w:rPr>
          <w:rFonts w:hint="eastAsia" w:ascii="方正小标宋简体" w:hAnsi="方正小标宋简体" w:eastAsia="方正小标宋简体" w:cs="方正小标宋简体"/>
          <w:b w:val="0"/>
          <w:sz w:val="44"/>
          <w:szCs w:val="44"/>
        </w:rPr>
        <w:t xml:space="preserve">2022</w:t>
      </w:r>
      <w:r>
        <w:rPr>
          <w:rFonts w:hint="eastAsia" w:ascii="方正小标宋简体" w:hAnsi="方正小标宋简体" w:eastAsia="方正小标宋简体" w:cs="方正小标宋简体"/>
          <w:b w:val="0"/>
          <w:sz w:val="44"/>
          <w:szCs w:val="44"/>
        </w:rPr>
        <w:t xml:space="preserve">年利用综合标准依法依规</w:t>
      </w:r>
      <w:r>
        <w:rPr>
          <w:rFonts w:ascii="方正小标宋简体" w:hAnsi="方正小标宋简体" w:eastAsia="方正小标宋简体" w:cs="方正小标宋简体"/>
          <w:b w:val="0"/>
          <w:sz w:val="44"/>
          <w:szCs w:val="44"/>
        </w:rPr>
      </w:r>
    </w:p>
    <w:p>
      <w:pPr>
        <w:pStyle w:val="701"/>
        <w:pBdr/>
        <w:spacing w:after="0" w:afterAutospacing="0" w:before="0" w:beforeAutospacing="0" w:line="720" w:lineRule="exact"/>
        <w:ind/>
        <w:jc w:val="center"/>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 xml:space="preserve">推动落后产能退出工作方案</w:t>
      </w:r>
      <w:r>
        <w:rPr>
          <w:rFonts w:ascii="方正小标宋简体" w:hAnsi="方正小标宋简体" w:eastAsia="方正小标宋简体" w:cs="方正小标宋简体"/>
          <w:b w:val="0"/>
          <w:sz w:val="44"/>
          <w:szCs w:val="44"/>
        </w:rPr>
      </w:r>
    </w:p>
    <w:p>
      <w:pPr>
        <w:pBdr/>
        <w:spacing w:line="670" w:lineRule="exact"/>
        <w:ind/>
        <w:jc w:val="center"/>
        <w:rPr>
          <w:rFonts w:ascii="Times New Roman" w:hAnsi="Times New Roman" w:eastAsia="仿宋" w:cs="仿宋"/>
          <w:sz w:val="36"/>
          <w:szCs w:val="36"/>
        </w:rPr>
      </w:pPr>
      <w:r>
        <w:rPr>
          <w:rFonts w:ascii="Times New Roman" w:hAnsi="Times New Roman" w:eastAsia="仿宋" w:cs="仿宋"/>
          <w:sz w:val="36"/>
          <w:szCs w:val="36"/>
        </w:rPr>
      </w:r>
      <w:r>
        <w:rPr>
          <w:rFonts w:ascii="Times New Roman" w:hAnsi="Times New Roman" w:eastAsia="仿宋" w:cs="仿宋"/>
          <w:sz w:val="36"/>
          <w:szCs w:val="36"/>
        </w:rPr>
      </w:r>
    </w:p>
    <w:p>
      <w:pPr>
        <w:pBdr/>
        <w:spacing w:line="670" w:lineRule="exact"/>
        <w:ind w:firstLine="640"/>
        <w:rPr>
          <w:rFonts w:ascii="Times New Roman" w:hAnsi="Times New Roman" w:eastAsia="仿宋_GB2312" w:cs="仿宋_GB2312"/>
          <w:sz w:val="32"/>
          <w:szCs w:val="32"/>
        </w:rPr>
      </w:pPr>
      <w:r>
        <w:rPr>
          <w:rFonts w:hint="eastAsia" w:ascii="Times New Roman" w:hAnsi="Times New Roman" w:eastAsia="仿宋" w:cs="仿宋"/>
          <w:sz w:val="32"/>
          <w:szCs w:val="32"/>
        </w:rPr>
        <w:t xml:space="preserve">为贯彻落实党中央、国务院关于碳达峰碳中和、坚决遏制“两高”项目盲目发展的决策部署，根据工业和信息化部等</w:t>
      </w:r>
      <w:r>
        <w:rPr>
          <w:rFonts w:hint="eastAsia" w:ascii="Times New Roman" w:hAnsi="Times New Roman" w:eastAsia="仿宋" w:cs="仿宋"/>
          <w:sz w:val="32"/>
          <w:szCs w:val="32"/>
        </w:rPr>
        <w:t xml:space="preserve">16</w:t>
      </w:r>
      <w:r>
        <w:rPr>
          <w:rFonts w:hint="eastAsia" w:ascii="Times New Roman" w:hAnsi="Times New Roman" w:eastAsia="仿宋" w:cs="仿宋"/>
          <w:sz w:val="32"/>
          <w:szCs w:val="32"/>
        </w:rPr>
        <w:t xml:space="preserve">部委《关于利用综合标准依法依规推动落后产能退出的指导意见》（工信部联产业</w:t>
      </w:r>
      <w:r>
        <w:rPr>
          <w:rFonts w:hint="eastAsia" w:ascii="Times New Roman" w:hAnsi="Times New Roman" w:eastAsia="仿宋"/>
          <w:spacing w:val="-8"/>
          <w:sz w:val="32"/>
          <w:szCs w:val="32"/>
        </w:rPr>
        <w:t xml:space="preserve">〔</w:t>
      </w:r>
      <w:r>
        <w:rPr>
          <w:rFonts w:hint="eastAsia" w:ascii="Times New Roman" w:hAnsi="Times New Roman" w:eastAsia="仿宋"/>
          <w:spacing w:val="-8"/>
          <w:sz w:val="32"/>
          <w:szCs w:val="32"/>
        </w:rPr>
        <w:t xml:space="preserve">2017</w:t>
      </w:r>
      <w:r>
        <w:rPr>
          <w:rFonts w:hint="eastAsia" w:ascii="Times New Roman" w:hAnsi="Times New Roman" w:eastAsia="仿宋"/>
          <w:spacing w:val="-8"/>
          <w:sz w:val="32"/>
          <w:szCs w:val="32"/>
        </w:rPr>
        <w:t xml:space="preserve">〕</w:t>
      </w:r>
      <w:r>
        <w:rPr>
          <w:rFonts w:hint="eastAsia" w:ascii="Times New Roman" w:hAnsi="Times New Roman" w:eastAsia="仿宋"/>
          <w:spacing w:val="-8"/>
          <w:sz w:val="32"/>
          <w:szCs w:val="32"/>
        </w:rPr>
        <w:t xml:space="preserve">30</w:t>
      </w:r>
      <w:r>
        <w:rPr>
          <w:rFonts w:hint="eastAsia" w:ascii="Times New Roman" w:hAnsi="Times New Roman" w:eastAsia="仿宋"/>
          <w:spacing w:val="-8"/>
          <w:sz w:val="32"/>
          <w:szCs w:val="32"/>
        </w:rPr>
        <w:t xml:space="preserve">号</w:t>
      </w:r>
      <w:r>
        <w:rPr>
          <w:rFonts w:hint="eastAsia" w:ascii="Times New Roman" w:hAnsi="Times New Roman" w:eastAsia="仿宋" w:cs="仿宋"/>
          <w:sz w:val="32"/>
          <w:szCs w:val="32"/>
        </w:rPr>
        <w:t xml:space="preserve">）、《产业结构调整指导目录（</w:t>
      </w:r>
      <w:r>
        <w:rPr>
          <w:rFonts w:hint="eastAsia" w:ascii="Times New Roman" w:hAnsi="Times New Roman" w:eastAsia="仿宋"/>
          <w:spacing w:val="-8"/>
          <w:sz w:val="32"/>
          <w:szCs w:val="32"/>
        </w:rPr>
        <w:t xml:space="preserve">2019</w:t>
      </w:r>
      <w:r>
        <w:rPr>
          <w:rFonts w:hint="eastAsia" w:ascii="Times New Roman" w:hAnsi="Times New Roman" w:eastAsia="仿宋" w:cs="仿宋"/>
          <w:sz w:val="32"/>
          <w:szCs w:val="32"/>
        </w:rPr>
        <w:t xml:space="preserve">年本）》以及《限期淘汰产生严重污染环境的工业固体废物的落后生产工艺设备名录》（工信部公告</w:t>
      </w:r>
      <w:r>
        <w:rPr>
          <w:rFonts w:hint="eastAsia" w:ascii="Times New Roman" w:hAnsi="Times New Roman" w:eastAsia="仿宋" w:cs="仿宋"/>
          <w:sz w:val="32"/>
          <w:szCs w:val="32"/>
        </w:rPr>
        <w:t xml:space="preserve"> </w:t>
      </w:r>
      <w:r>
        <w:rPr>
          <w:rFonts w:hint="eastAsia" w:ascii="Times New Roman" w:hAnsi="Times New Roman" w:eastAsia="仿宋"/>
          <w:spacing w:val="-8"/>
          <w:sz w:val="32"/>
          <w:szCs w:val="32"/>
        </w:rPr>
        <w:t xml:space="preserve">2021</w:t>
      </w:r>
      <w:r>
        <w:rPr>
          <w:rFonts w:hint="eastAsia" w:ascii="Times New Roman" w:hAnsi="Times New Roman" w:eastAsia="仿宋" w:cs="仿宋"/>
          <w:sz w:val="32"/>
          <w:szCs w:val="32"/>
        </w:rPr>
        <w:t xml:space="preserve">年第</w:t>
      </w:r>
      <w:r>
        <w:rPr>
          <w:rFonts w:hint="eastAsia" w:ascii="Times New Roman" w:hAnsi="Times New Roman" w:eastAsia="仿宋"/>
          <w:spacing w:val="-8"/>
          <w:sz w:val="32"/>
          <w:szCs w:val="32"/>
        </w:rPr>
        <w:t xml:space="preserve">25</w:t>
      </w:r>
      <w:r>
        <w:rPr>
          <w:rFonts w:hint="eastAsia" w:ascii="Times New Roman" w:hAnsi="Times New Roman" w:eastAsia="仿宋" w:cs="仿宋"/>
          <w:sz w:val="32"/>
          <w:szCs w:val="32"/>
        </w:rPr>
        <w:t xml:space="preserve">号）、《关于严格能效约束推动重点领域节能降碳的若干意见》（发改产业〔</w:t>
      </w:r>
      <w:r>
        <w:rPr>
          <w:rFonts w:hint="eastAsia" w:ascii="Times New Roman" w:hAnsi="Times New Roman" w:eastAsia="仿宋"/>
          <w:spacing w:val="-8"/>
          <w:sz w:val="32"/>
          <w:szCs w:val="32"/>
        </w:rPr>
        <w:t xml:space="preserve">2021</w:t>
      </w:r>
      <w:r>
        <w:rPr>
          <w:rFonts w:hint="eastAsia" w:ascii="Times New Roman" w:hAnsi="Times New Roman" w:eastAsia="仿宋" w:cs="仿宋"/>
          <w:sz w:val="32"/>
          <w:szCs w:val="32"/>
        </w:rPr>
        <w:t xml:space="preserve">〕</w:t>
      </w:r>
      <w:r>
        <w:rPr>
          <w:rFonts w:hint="eastAsia" w:ascii="Times New Roman" w:hAnsi="Times New Roman" w:eastAsia="仿宋"/>
          <w:spacing w:val="-8"/>
          <w:sz w:val="32"/>
          <w:szCs w:val="32"/>
        </w:rPr>
        <w:t xml:space="preserve">1464</w:t>
      </w:r>
      <w:r>
        <w:rPr>
          <w:rFonts w:hint="eastAsia" w:ascii="Times New Roman" w:hAnsi="Times New Roman" w:eastAsia="仿宋" w:cs="仿宋"/>
          <w:sz w:val="32"/>
          <w:szCs w:val="32"/>
        </w:rPr>
        <w:t xml:space="preserve">号）等文件要求，依法依规推进落后产能退出，促进产业结构调整和工业经济高质量发展，制定本工作方案。</w:t>
      </w:r>
      <w:r>
        <w:rPr>
          <w:rFonts w:ascii="Times New Roman" w:hAnsi="Times New Roman" w:eastAsia="仿宋_GB2312" w:cs="仿宋_GB2312"/>
          <w:sz w:val="32"/>
          <w:szCs w:val="32"/>
        </w:rPr>
      </w:r>
    </w:p>
    <w:p>
      <w:pPr>
        <w:pBdr/>
        <w:spacing w:line="670" w:lineRule="exact"/>
        <w:ind w:firstLine="640"/>
        <w:rPr>
          <w:rFonts w:ascii="Times New Roman" w:hAnsi="Times New Roman" w:eastAsia="黑体"/>
          <w:sz w:val="32"/>
          <w:szCs w:val="32"/>
        </w:rPr>
      </w:pPr>
      <w:r>
        <w:rPr>
          <w:rFonts w:hint="eastAsia" w:ascii="Times New Roman" w:hAnsi="Times New Roman" w:eastAsia="黑体"/>
          <w:sz w:val="32"/>
          <w:szCs w:val="32"/>
        </w:rPr>
        <w:t xml:space="preserve">一、总体要求</w:t>
      </w:r>
      <w:r>
        <w:rPr>
          <w:rFonts w:ascii="Times New Roman" w:hAnsi="Times New Roman" w:eastAsia="黑体"/>
          <w:sz w:val="32"/>
          <w:szCs w:val="32"/>
        </w:rPr>
      </w:r>
    </w:p>
    <w:p>
      <w:pPr>
        <w:pBdr/>
        <w:spacing w:line="670" w:lineRule="exact"/>
        <w:ind w:firstLine="640"/>
        <w:rPr>
          <w:rFonts w:ascii="Times New Roman" w:hAnsi="Times New Roman" w:eastAsia="仿宋" w:cs="仿宋"/>
          <w:sz w:val="32"/>
          <w:szCs w:val="32"/>
        </w:rPr>
      </w:pPr>
      <w:r>
        <w:rPr>
          <w:rFonts w:hint="eastAsia" w:ascii="Times New Roman" w:hAnsi="Times New Roman" w:eastAsia="仿宋" w:cs="仿宋"/>
          <w:sz w:val="32"/>
          <w:szCs w:val="32"/>
        </w:rPr>
        <w:t xml:space="preserve">以习近平新时代中国特色社会主义思想为指导，全面贯彻党的十九大和十九届历次全会精神，落实省第十三次党代会关于推进高质量发展以及省委、省政府建设数字辽宁智造强省、做好结构调整“三篇大文章”工作要求，坚持稳字当头、稳中求进工作总基调，以钢铁、水泥、平板玻璃、菱镁、</w:t>
      </w:r>
      <w:r>
        <w:rPr>
          <w:rFonts w:hint="eastAsia" w:ascii="Times New Roman" w:hAnsi="Times New Roman" w:eastAsia="仿宋" w:cs="仿宋"/>
          <w:sz w:val="32"/>
          <w:szCs w:val="32"/>
        </w:rPr>
        <w:t xml:space="preserve">炼化等行业为重点（各地可结合本地区产业发展实际和结构调整需要，扩大淘汰落后产能重点行业范围），针对我省工业单位增加值能耗水平高的问题，重点抓好</w:t>
      </w:r>
      <w:r>
        <w:rPr>
          <w:rFonts w:hint="eastAsia" w:ascii="Times New Roman" w:hAnsi="Times New Roman" w:eastAsia="仿宋" w:cs="仿宋"/>
          <w:sz w:val="32"/>
          <w:szCs w:val="32"/>
        </w:rPr>
        <w:t xml:space="preserve">节能降碳，充分利用能耗、环保、质量、安全、技术等综合标准，倒逼企业实施技术改造、使用先进技术装备，加快落后产能依法依规</w:t>
      </w:r>
      <w:r>
        <w:rPr>
          <w:rFonts w:ascii="Times New Roman" w:hAnsi="Times New Roman" w:eastAsia="仿宋" w:cs="仿宋"/>
          <w:sz w:val="32"/>
          <w:szCs w:val="32"/>
        </w:rPr>
        <w:t xml:space="preserve">淘汰</w:t>
      </w:r>
      <w:r>
        <w:rPr>
          <w:rFonts w:hint="eastAsia" w:ascii="Times New Roman" w:hAnsi="Times New Roman" w:eastAsia="仿宋" w:cs="仿宋"/>
          <w:sz w:val="32"/>
          <w:szCs w:val="32"/>
        </w:rPr>
        <w:t xml:space="preserve">退出。</w:t>
      </w:r>
      <w:r>
        <w:rPr>
          <w:rFonts w:ascii="Times New Roman" w:hAnsi="Times New Roman" w:eastAsia="仿宋" w:cs="仿宋"/>
          <w:sz w:val="32"/>
          <w:szCs w:val="32"/>
        </w:rPr>
      </w:r>
    </w:p>
    <w:p>
      <w:pPr>
        <w:pBdr/>
        <w:tabs>
          <w:tab w:val="left" w:leader="none" w:pos="720"/>
        </w:tabs>
        <w:spacing w:line="670" w:lineRule="exact"/>
        <w:ind w:firstLine="640"/>
        <w:rPr>
          <w:rFonts w:ascii="Times New Roman" w:hAnsi="Times New Roman" w:eastAsia="黑体"/>
          <w:sz w:val="32"/>
          <w:szCs w:val="32"/>
        </w:rPr>
      </w:pPr>
      <w:r>
        <w:rPr>
          <w:rFonts w:hint="eastAsia" w:ascii="Times New Roman" w:hAnsi="Times New Roman" w:eastAsia="黑体"/>
          <w:sz w:val="32"/>
          <w:szCs w:val="32"/>
        </w:rPr>
        <w:t xml:space="preserve">二、重点任务</w:t>
      </w:r>
      <w:r>
        <w:rPr>
          <w:rFonts w:ascii="Times New Roman" w:hAnsi="Times New Roman" w:eastAsia="黑体"/>
          <w:sz w:val="32"/>
          <w:szCs w:val="32"/>
        </w:rPr>
      </w:r>
    </w:p>
    <w:p>
      <w:pPr>
        <w:pBdr/>
        <w:tabs>
          <w:tab w:val="left" w:leader="none" w:pos="720"/>
        </w:tabs>
        <w:spacing w:line="670" w:lineRule="exact"/>
        <w:ind w:firstLine="643"/>
        <w:rPr>
          <w:rFonts w:ascii="楷体_GB2312" w:hAnsi="楷体_GB2312" w:eastAsia="楷体_GB2312" w:cs="楷体_GB2312"/>
          <w:sz w:val="32"/>
          <w:szCs w:val="32"/>
        </w:rPr>
      </w:pPr>
      <w:r>
        <w:rPr>
          <w:rFonts w:hint="eastAsia" w:ascii="Times New Roman" w:hAnsi="Times New Roman" w:eastAsia="楷体" w:cs="楷体"/>
          <w:b/>
          <w:bCs/>
          <w:sz w:val="32"/>
          <w:szCs w:val="32"/>
        </w:rPr>
        <w:t xml:space="preserve">（一）能耗方面。</w:t>
      </w:r>
      <w:r>
        <w:rPr>
          <w:rFonts w:hint="eastAsia" w:ascii="Times New Roman" w:hAnsi="Times New Roman" w:eastAsia="仿宋" w:cs="仿宋"/>
          <w:sz w:val="32"/>
          <w:szCs w:val="32"/>
        </w:rPr>
        <w:t xml:space="preserve">对</w:t>
      </w:r>
      <w:r>
        <w:rPr>
          <w:rFonts w:hint="eastAsia" w:ascii="Times New Roman" w:hAnsi="Times New Roman" w:eastAsia="仿宋"/>
          <w:spacing w:val="-8"/>
          <w:sz w:val="32"/>
          <w:szCs w:val="32"/>
        </w:rPr>
        <w:t xml:space="preserve">100</w:t>
      </w:r>
      <w:r>
        <w:rPr>
          <w:rFonts w:hint="eastAsia" w:ascii="Times New Roman" w:hAnsi="Times New Roman" w:eastAsia="仿宋" w:cs="仿宋"/>
          <w:sz w:val="32"/>
          <w:szCs w:val="32"/>
        </w:rPr>
        <w:t xml:space="preserve">户能效低于标杆水平的企业（</w:t>
      </w:r>
      <w:r>
        <w:rPr>
          <w:rFonts w:hint="eastAsia" w:ascii="楷体" w:hAnsi="楷体" w:eastAsia="楷体" w:cs="楷体"/>
          <w:sz w:val="32"/>
          <w:szCs w:val="32"/>
        </w:rPr>
        <w:t xml:space="preserve">见附件</w:t>
      </w:r>
      <w:r>
        <w:rPr>
          <w:rFonts w:hint="eastAsia" w:ascii="楷体" w:hAnsi="楷体" w:eastAsia="楷体" w:cs="楷体"/>
          <w:sz w:val="32"/>
          <w:szCs w:val="32"/>
        </w:rPr>
        <w:t xml:space="preserve">1</w:t>
      </w:r>
      <w:r>
        <w:rPr>
          <w:rFonts w:hint="eastAsia" w:ascii="Times New Roman" w:hAnsi="Times New Roman" w:eastAsia="仿宋" w:cs="仿宋"/>
          <w:sz w:val="32"/>
          <w:szCs w:val="32"/>
        </w:rPr>
        <w:t xml:space="preserve">），督促具备改造条件的尽快实施改造，使低于基准水平的达到基准水平以上，在基准水平和标杆水平之间的企业，力争达到标杆水平。对难以在规定时限通过改造升级达到基准水平以上的产能，通过市场化方式、法治化手段推动其加快退出。</w:t>
      </w:r>
      <w:r>
        <w:rPr>
          <w:rFonts w:hint="eastAsia" w:ascii="楷体_GB2312" w:hAnsi="楷体_GB2312" w:eastAsia="楷体_GB2312" w:cs="楷体_GB2312"/>
          <w:sz w:val="32"/>
          <w:szCs w:val="32"/>
        </w:rPr>
        <w:t xml:space="preserve">（省发展改革委、省工业和信息化厅按职责分工负责）</w:t>
      </w:r>
      <w:r>
        <w:rPr>
          <w:rFonts w:ascii="楷体_GB2312" w:hAnsi="楷体_GB2312" w:eastAsia="楷体_GB2312" w:cs="楷体_GB2312"/>
          <w:sz w:val="32"/>
          <w:szCs w:val="32"/>
        </w:rPr>
      </w:r>
    </w:p>
    <w:p>
      <w:pPr>
        <w:pBdr/>
        <w:tabs>
          <w:tab w:val="left" w:leader="none" w:pos="720"/>
        </w:tabs>
        <w:spacing w:line="670" w:lineRule="exact"/>
        <w:ind w:firstLine="643"/>
        <w:rPr>
          <w:rFonts w:ascii="楷体_GB2312" w:hAnsi="楷体_GB2312" w:eastAsia="楷体_GB2312" w:cs="楷体_GB2312"/>
          <w:sz w:val="32"/>
          <w:szCs w:val="32"/>
        </w:rPr>
      </w:pPr>
      <w:r>
        <w:rPr>
          <w:rFonts w:hint="eastAsia" w:ascii="Times New Roman" w:hAnsi="Times New Roman" w:eastAsia="楷体" w:cs="楷体"/>
          <w:b/>
          <w:bCs/>
          <w:sz w:val="32"/>
          <w:szCs w:val="32"/>
        </w:rPr>
        <w:t xml:space="preserve">（二）环保方面。</w:t>
      </w:r>
      <w:r>
        <w:rPr>
          <w:rFonts w:hint="eastAsia" w:ascii="Times New Roman" w:hAnsi="Times New Roman" w:eastAsia="仿宋" w:cs="仿宋"/>
          <w:sz w:val="32"/>
          <w:szCs w:val="32"/>
        </w:rPr>
        <w:t xml:space="preserve">严格执行环境保护法律法规，加强排污许可证管理，推进固定污染源自动监控“建管用”，严厉查处无证排污、超标排放等环境违法行为。对大连铭阳镀业有限公司进行停产整治，对庄河市青堆镇丹旸山制绳厂、大连市志发废品回收加工厂采取限制生产措施。</w:t>
      </w:r>
      <w:r>
        <w:rPr>
          <w:rFonts w:hint="eastAsia" w:ascii="楷体_GB2312" w:hAnsi="楷体_GB2312" w:eastAsia="楷体_GB2312" w:cs="楷体_GB2312"/>
          <w:sz w:val="32"/>
          <w:szCs w:val="32"/>
        </w:rPr>
        <w:t xml:space="preserve">（省生态环境</w:t>
      </w:r>
      <w:r>
        <w:rPr>
          <w:rFonts w:hint="eastAsia" w:ascii="楷体_GB2312" w:hAnsi="楷体_GB2312" w:eastAsia="楷体_GB2312" w:cs="楷体_GB2312"/>
          <w:sz w:val="32"/>
          <w:szCs w:val="32"/>
        </w:rPr>
        <w:t xml:space="preserve">厅负责）</w:t>
      </w:r>
      <w:r>
        <w:rPr>
          <w:rFonts w:ascii="楷体_GB2312" w:hAnsi="楷体_GB2312" w:eastAsia="楷体_GB2312" w:cs="楷体_GB2312"/>
          <w:sz w:val="32"/>
          <w:szCs w:val="32"/>
        </w:rPr>
      </w:r>
    </w:p>
    <w:p>
      <w:pPr>
        <w:pBdr/>
        <w:tabs>
          <w:tab w:val="left" w:leader="none" w:pos="720"/>
        </w:tabs>
        <w:spacing w:line="670" w:lineRule="exact"/>
        <w:ind w:firstLine="643"/>
        <w:rPr>
          <w:rFonts w:ascii="楷体_GB2312" w:hAnsi="楷体_GB2312" w:eastAsia="楷体_GB2312" w:cs="楷体_GB2312"/>
          <w:sz w:val="32"/>
          <w:szCs w:val="32"/>
        </w:rPr>
      </w:pPr>
      <w:r>
        <w:rPr>
          <w:rFonts w:hint="eastAsia" w:ascii="Times New Roman" w:hAnsi="Times New Roman" w:eastAsia="仿宋_GB2312" w:cs="仿宋_GB2312"/>
          <w:b/>
          <w:bCs/>
          <w:sz w:val="32"/>
          <w:szCs w:val="32"/>
        </w:rPr>
        <w:t xml:space="preserve">（</w:t>
      </w:r>
      <w:r>
        <w:rPr>
          <w:rFonts w:hint="eastAsia" w:ascii="Times New Roman" w:hAnsi="Times New Roman" w:eastAsia="楷体" w:cs="楷体"/>
          <w:b/>
          <w:bCs/>
          <w:sz w:val="32"/>
          <w:szCs w:val="32"/>
        </w:rPr>
        <w:t xml:space="preserve">三）质量方面。</w:t>
      </w:r>
      <w:r>
        <w:rPr>
          <w:rFonts w:hint="eastAsia" w:ascii="Times New Roman" w:hAnsi="Times New Roman" w:eastAsia="仿宋" w:cs="仿宋"/>
          <w:sz w:val="32"/>
          <w:szCs w:val="32"/>
        </w:rPr>
        <w:t xml:space="preserve">以</w:t>
      </w:r>
      <w:r>
        <w:rPr>
          <w:rFonts w:hint="eastAsia" w:ascii="Times New Roman" w:hAnsi="Times New Roman" w:eastAsia="仿宋" w:cs="仿宋"/>
          <w:sz w:val="32"/>
          <w:szCs w:val="32"/>
          <w:lang w:val="zh-TW"/>
        </w:rPr>
        <w:t xml:space="preserve">危险化学品、车载常压罐体等</w:t>
      </w:r>
      <w:r>
        <w:rPr>
          <w:rFonts w:hint="eastAsia" w:ascii="Times New Roman" w:hAnsi="Times New Roman" w:eastAsia="仿宋"/>
          <w:spacing w:val="-8"/>
          <w:sz w:val="32"/>
          <w:szCs w:val="32"/>
        </w:rPr>
        <w:t xml:space="preserve">14</w:t>
      </w:r>
      <w:r>
        <w:rPr>
          <w:rFonts w:hint="eastAsia" w:ascii="Times New Roman" w:hAnsi="Times New Roman" w:eastAsia="仿宋" w:cs="仿宋"/>
          <w:sz w:val="32"/>
          <w:szCs w:val="32"/>
        </w:rPr>
        <w:t xml:space="preserve">类</w:t>
      </w:r>
      <w:r>
        <w:rPr>
          <w:rFonts w:hint="eastAsia" w:ascii="Times New Roman" w:hAnsi="Times New Roman" w:eastAsia="仿宋" w:cs="仿宋"/>
          <w:sz w:val="32"/>
          <w:szCs w:val="32"/>
          <w:lang w:val="zh-TW"/>
        </w:rPr>
        <w:t xml:space="preserve">产品为重点，开展重点工业产品质量安全排查治理专项行动。严格热轧钢筋、水泥以及高污染高耗能的危险化学品工业产品生产许可审批，对不满足稳定生产合格产品能力的企业，坚决不予行政许可。对生产许可证获证企业检查中发现的</w:t>
      </w:r>
      <w:r>
        <w:rPr>
          <w:rFonts w:hint="eastAsia" w:ascii="Times New Roman" w:hAnsi="Times New Roman" w:eastAsia="仿宋"/>
          <w:spacing w:val="-8"/>
          <w:sz w:val="32"/>
          <w:szCs w:val="32"/>
        </w:rPr>
        <w:t xml:space="preserve">11</w:t>
      </w:r>
      <w:r>
        <w:rPr>
          <w:rFonts w:hint="eastAsia" w:ascii="Times New Roman" w:hAnsi="Times New Roman" w:eastAsia="仿宋" w:cs="仿宋"/>
          <w:sz w:val="32"/>
          <w:szCs w:val="32"/>
        </w:rPr>
        <w:t xml:space="preserve">户</w:t>
      </w:r>
      <w:r>
        <w:rPr>
          <w:rFonts w:hint="eastAsia" w:ascii="Times New Roman" w:hAnsi="Times New Roman" w:eastAsia="仿宋" w:cs="仿宋"/>
          <w:sz w:val="32"/>
          <w:szCs w:val="32"/>
          <w:lang w:val="zh-TW"/>
        </w:rPr>
        <w:t xml:space="preserve">存在问题的</w:t>
      </w:r>
      <w:r>
        <w:rPr>
          <w:rFonts w:hint="eastAsia" w:ascii="Times New Roman" w:hAnsi="Times New Roman" w:eastAsia="仿宋" w:cs="仿宋"/>
          <w:sz w:val="32"/>
          <w:szCs w:val="32"/>
        </w:rPr>
        <w:t xml:space="preserve">钢筋、水泥企业（</w:t>
      </w:r>
      <w:r>
        <w:rPr>
          <w:rFonts w:hint="eastAsia" w:ascii="楷体" w:hAnsi="楷体" w:eastAsia="楷体" w:cs="楷体"/>
          <w:sz w:val="32"/>
          <w:szCs w:val="32"/>
        </w:rPr>
        <w:t xml:space="preserve">见附件</w:t>
      </w:r>
      <w:r>
        <w:rPr>
          <w:rFonts w:hint="eastAsia" w:ascii="楷体" w:hAnsi="楷体" w:eastAsia="楷体" w:cs="楷体"/>
          <w:sz w:val="32"/>
          <w:szCs w:val="32"/>
        </w:rPr>
        <w:t xml:space="preserve">2</w:t>
      </w:r>
      <w:r>
        <w:rPr>
          <w:rFonts w:hint="eastAsia" w:ascii="Times New Roman" w:hAnsi="Times New Roman" w:eastAsia="仿宋" w:cs="仿宋"/>
          <w:sz w:val="32"/>
          <w:szCs w:val="32"/>
        </w:rPr>
        <w:t xml:space="preserve">），责令企业限期整改。</w:t>
      </w:r>
      <w:r>
        <w:rPr>
          <w:rFonts w:hint="eastAsia" w:ascii="楷体_GB2312" w:hAnsi="楷体_GB2312" w:eastAsia="楷体_GB2312" w:cs="楷体_GB2312"/>
          <w:sz w:val="32"/>
          <w:szCs w:val="32"/>
        </w:rPr>
        <w:t xml:space="preserve">（省市场监管局负责）</w:t>
      </w:r>
      <w:r>
        <w:rPr>
          <w:rFonts w:ascii="楷体_GB2312" w:hAnsi="楷体_GB2312" w:eastAsia="楷体_GB2312" w:cs="楷体_GB2312"/>
          <w:sz w:val="32"/>
          <w:szCs w:val="32"/>
        </w:rPr>
      </w:r>
    </w:p>
    <w:p>
      <w:pPr>
        <w:pBdr/>
        <w:tabs>
          <w:tab w:val="left" w:leader="none" w:pos="720"/>
        </w:tabs>
        <w:spacing w:line="670" w:lineRule="exact"/>
        <w:ind w:firstLine="643"/>
        <w:rPr>
          <w:rFonts w:ascii="Times New Roman" w:hAnsi="Times New Roman" w:eastAsia="仿宋" w:cs="仿宋"/>
          <w:sz w:val="32"/>
          <w:szCs w:val="32"/>
          <w:lang w:val="zh-TW"/>
        </w:rPr>
      </w:pPr>
      <w:r>
        <w:rPr>
          <w:rFonts w:hint="eastAsia" w:ascii="Times New Roman" w:hAnsi="Times New Roman" w:eastAsia="仿宋_GB2312" w:cs="仿宋_GB2312"/>
          <w:b/>
          <w:bCs/>
          <w:sz w:val="32"/>
          <w:szCs w:val="32"/>
        </w:rPr>
        <w:t xml:space="preserve">（</w:t>
      </w:r>
      <w:r>
        <w:rPr>
          <w:rFonts w:hint="eastAsia" w:ascii="Times New Roman" w:hAnsi="Times New Roman" w:eastAsia="楷体" w:cs="楷体"/>
          <w:b/>
          <w:bCs/>
          <w:sz w:val="32"/>
          <w:szCs w:val="32"/>
        </w:rPr>
        <w:t xml:space="preserve">四）安全方面。</w:t>
      </w:r>
      <w:r>
        <w:rPr>
          <w:rFonts w:hint="eastAsia" w:ascii="Times New Roman" w:hAnsi="Times New Roman" w:eastAsia="仿宋" w:cs="仿宋"/>
          <w:sz w:val="32"/>
          <w:szCs w:val="32"/>
          <w:lang w:val="zh-TW"/>
        </w:rPr>
        <w:t xml:space="preserve">开展安全生产专项整治，结合国务院安委会安全生产专项整治三年行动等重点工作，对钢铁等重点行业“回头看”，全面开展“钢八条”等重点执法事项执法检查，对达不到安全生产条件的依法予以处置。对排查出的达不到安全生产条件的</w:t>
      </w:r>
      <w:r>
        <w:rPr>
          <w:rFonts w:hint="eastAsia" w:ascii="Times New Roman" w:hAnsi="Times New Roman" w:eastAsia="仿宋"/>
          <w:spacing w:val="-8"/>
          <w:sz w:val="32"/>
          <w:szCs w:val="32"/>
        </w:rPr>
        <w:t xml:space="preserve">39</w:t>
      </w:r>
      <w:r>
        <w:rPr>
          <w:rFonts w:hint="eastAsia" w:ascii="Times New Roman" w:hAnsi="Times New Roman" w:eastAsia="仿宋" w:cs="仿宋"/>
          <w:sz w:val="32"/>
          <w:szCs w:val="32"/>
          <w:lang w:val="zh-TW"/>
        </w:rPr>
        <w:t xml:space="preserve">户非煤矿山企业和</w:t>
      </w:r>
      <w:r>
        <w:rPr>
          <w:rFonts w:hint="eastAsia" w:ascii="Times New Roman" w:hAnsi="Times New Roman" w:eastAsia="仿宋"/>
          <w:spacing w:val="-8"/>
          <w:sz w:val="32"/>
          <w:szCs w:val="32"/>
          <w:lang w:val="zh-TW"/>
        </w:rPr>
        <w:t xml:space="preserve">26</w:t>
      </w:r>
      <w:r>
        <w:rPr>
          <w:rFonts w:hint="eastAsia" w:ascii="Times New Roman" w:hAnsi="Times New Roman" w:eastAsia="仿宋" w:cs="仿宋"/>
          <w:sz w:val="32"/>
          <w:szCs w:val="32"/>
          <w:lang w:val="zh-TW"/>
        </w:rPr>
        <w:t xml:space="preserve">户危化企业依法予以停产停业整顿（</w:t>
      </w:r>
      <w:r>
        <w:rPr>
          <w:rFonts w:hint="eastAsia" w:ascii="楷体" w:hAnsi="楷体" w:eastAsia="楷体" w:cs="楷体"/>
          <w:sz w:val="32"/>
          <w:szCs w:val="32"/>
          <w:lang w:val="zh-TW"/>
        </w:rPr>
        <w:t xml:space="preserve">见附件</w:t>
      </w:r>
      <w:r>
        <w:rPr>
          <w:rFonts w:hint="eastAsia" w:ascii="楷体" w:hAnsi="楷体" w:eastAsia="楷体" w:cs="楷体"/>
          <w:sz w:val="32"/>
          <w:szCs w:val="32"/>
        </w:rPr>
        <w:t xml:space="preserve">3</w:t>
      </w:r>
      <w:r>
        <w:rPr>
          <w:rFonts w:hint="eastAsia" w:ascii="Times New Roman" w:hAnsi="Times New Roman" w:eastAsia="仿宋" w:cs="仿宋"/>
          <w:sz w:val="32"/>
          <w:szCs w:val="32"/>
          <w:lang w:val="zh-TW"/>
        </w:rPr>
        <w:t xml:space="preserve">）。</w:t>
      </w:r>
      <w:r>
        <w:rPr>
          <w:rFonts w:hint="eastAsia" w:ascii="楷体_GB2312" w:hAnsi="楷体_GB2312" w:eastAsia="楷体_GB2312" w:cs="楷体_GB2312"/>
          <w:sz w:val="32"/>
          <w:szCs w:val="32"/>
          <w:lang w:val="zh-TW"/>
        </w:rPr>
        <w:t xml:space="preserve">（省应急厅负责）</w:t>
      </w:r>
      <w:r>
        <w:rPr>
          <w:rFonts w:ascii="Times New Roman" w:hAnsi="Times New Roman" w:eastAsia="仿宋" w:cs="仿宋"/>
          <w:sz w:val="32"/>
          <w:szCs w:val="32"/>
          <w:lang w:val="zh-TW"/>
        </w:rPr>
      </w:r>
    </w:p>
    <w:p>
      <w:pPr>
        <w:pBdr/>
        <w:tabs>
          <w:tab w:val="left" w:leader="none" w:pos="720"/>
        </w:tabs>
        <w:spacing w:line="670" w:lineRule="exact"/>
        <w:ind w:firstLine="643"/>
        <w:rPr>
          <w:rFonts w:ascii="楷体_GB2312" w:hAnsi="楷体_GB2312" w:eastAsia="楷体_GB2312" w:cs="楷体_GB2312"/>
          <w:sz w:val="32"/>
          <w:szCs w:val="32"/>
          <w:lang w:val="zh-TW"/>
        </w:rPr>
      </w:pPr>
      <w:r>
        <w:rPr>
          <w:rFonts w:hint="eastAsia" w:ascii="Times New Roman" w:hAnsi="Times New Roman" w:eastAsia="仿宋_GB2312" w:cs="仿宋_GB2312"/>
          <w:b/>
          <w:bCs/>
          <w:sz w:val="32"/>
          <w:szCs w:val="32"/>
        </w:rPr>
        <w:t xml:space="preserve">（</w:t>
      </w:r>
      <w:r>
        <w:rPr>
          <w:rFonts w:hint="eastAsia" w:ascii="Times New Roman" w:hAnsi="Times New Roman" w:eastAsia="楷体" w:cs="楷体"/>
          <w:b/>
          <w:bCs/>
          <w:sz w:val="32"/>
          <w:szCs w:val="32"/>
        </w:rPr>
        <w:t xml:space="preserve">五）技术方面。</w:t>
      </w:r>
      <w:r>
        <w:rPr>
          <w:rFonts w:hint="eastAsia" w:ascii="Times New Roman" w:hAnsi="Times New Roman" w:eastAsia="仿宋" w:cs="仿宋"/>
          <w:sz w:val="32"/>
          <w:szCs w:val="32"/>
          <w:lang w:val="zh-TW"/>
        </w:rPr>
        <w:t xml:space="preserve">推进沈阳石蜡化工有限公司</w:t>
      </w:r>
      <w:r>
        <w:rPr>
          <w:rFonts w:hint="eastAsia" w:ascii="Times New Roman" w:hAnsi="Times New Roman" w:eastAsia="仿宋"/>
          <w:spacing w:val="-8"/>
          <w:sz w:val="32"/>
          <w:szCs w:val="32"/>
          <w:lang w:val="zh-TW"/>
        </w:rPr>
        <w:t xml:space="preserve">2</w:t>
      </w:r>
      <w:r>
        <w:rPr>
          <w:rFonts w:hint="eastAsia" w:ascii="Times New Roman" w:hAnsi="Times New Roman" w:eastAsia="仿宋" w:cs="仿宋"/>
          <w:sz w:val="32"/>
          <w:szCs w:val="32"/>
          <w:lang w:val="zh-TW"/>
        </w:rPr>
        <w:t xml:space="preserve">条</w:t>
      </w:r>
      <w:r>
        <w:rPr>
          <w:rFonts w:hint="eastAsia" w:ascii="Times New Roman" w:hAnsi="Times New Roman" w:eastAsia="仿宋"/>
          <w:spacing w:val="-8"/>
          <w:sz w:val="32"/>
          <w:szCs w:val="32"/>
          <w:lang w:val="zh-TW"/>
        </w:rPr>
        <w:t xml:space="preserve">70</w:t>
      </w:r>
      <w:r>
        <w:rPr>
          <w:rFonts w:hint="eastAsia" w:ascii="Times New Roman" w:hAnsi="Times New Roman" w:eastAsia="仿宋" w:cs="仿宋"/>
          <w:sz w:val="32"/>
          <w:szCs w:val="32"/>
          <w:lang w:val="zh-TW"/>
        </w:rPr>
        <w:t xml:space="preserve">万吨常减压蒸馏装置、海城尊鼎钢铁有限公司一段式固定煤气发生炉、中冶葫芦岛有色金属集团竖罐炼锌</w:t>
      </w:r>
      <w:r>
        <w:rPr>
          <w:rFonts w:ascii="Times New Roman" w:hAnsi="Times New Roman" w:eastAsia="仿宋" w:cs="仿宋"/>
          <w:sz w:val="32"/>
          <w:szCs w:val="32"/>
        </w:rPr>
        <w:t xml:space="preserve">等</w:t>
      </w:r>
      <w:r>
        <w:rPr>
          <w:rFonts w:hint="eastAsia" w:ascii="Times New Roman" w:hAnsi="Times New Roman" w:eastAsia="仿宋" w:cs="仿宋"/>
          <w:sz w:val="32"/>
          <w:szCs w:val="32"/>
          <w:lang w:val="zh-TW"/>
        </w:rPr>
        <w:t xml:space="preserve">企业落后工艺装备淘汰退出。推动</w:t>
      </w:r>
      <w:r>
        <w:rPr>
          <w:rFonts w:hint="eastAsia" w:ascii="Times New Roman" w:hAnsi="Times New Roman" w:eastAsia="仿宋"/>
          <w:spacing w:val="-8"/>
          <w:sz w:val="32"/>
          <w:szCs w:val="32"/>
          <w:lang w:val="zh-TW"/>
        </w:rPr>
        <w:t xml:space="preserve">1200</w:t>
      </w:r>
      <w:r>
        <w:rPr>
          <w:rFonts w:hint="eastAsia" w:ascii="Times New Roman" w:hAnsi="Times New Roman" w:eastAsia="仿宋" w:cs="仿宋"/>
          <w:sz w:val="32"/>
          <w:szCs w:val="32"/>
          <w:lang w:val="zh-TW"/>
        </w:rPr>
        <w:t xml:space="preserve">立方米以下炼钢用生铁高炉、</w:t>
      </w:r>
      <w:r>
        <w:rPr>
          <w:rFonts w:hint="eastAsia" w:ascii="Times New Roman" w:hAnsi="Times New Roman" w:eastAsia="仿宋"/>
          <w:spacing w:val="-8"/>
          <w:sz w:val="32"/>
          <w:szCs w:val="32"/>
          <w:lang w:val="zh-TW"/>
        </w:rPr>
        <w:t xml:space="preserve">100</w:t>
      </w:r>
      <w:r>
        <w:rPr>
          <w:rFonts w:hint="eastAsia" w:ascii="Times New Roman" w:hAnsi="Times New Roman" w:eastAsia="仿宋" w:cs="仿宋"/>
          <w:sz w:val="32"/>
          <w:szCs w:val="32"/>
          <w:lang w:val="zh-TW"/>
        </w:rPr>
        <w:t xml:space="preserve">吨以下炼钢转炉等限制类设备完成升级改造，对全省钢铁企</w:t>
      </w:r>
      <w:r>
        <w:rPr>
          <w:rFonts w:hint="eastAsia" w:ascii="Times New Roman" w:hAnsi="Times New Roman" w:eastAsia="仿宋" w:cs="仿宋"/>
          <w:sz w:val="32"/>
          <w:szCs w:val="32"/>
          <w:lang w:val="zh-TW"/>
        </w:rPr>
        <w:t xml:space="preserve">业在用限制类设备，通过产能置换方式逐步实现低效产能退出（</w:t>
      </w:r>
      <w:r>
        <w:rPr>
          <w:rFonts w:hint="eastAsia" w:ascii="楷体" w:hAnsi="楷体" w:eastAsia="楷体" w:cs="楷体"/>
          <w:sz w:val="32"/>
          <w:szCs w:val="32"/>
          <w:lang w:val="zh-TW"/>
        </w:rPr>
        <w:t xml:space="preserve">见附件</w:t>
      </w:r>
      <w:r>
        <w:rPr>
          <w:rFonts w:hint="eastAsia" w:ascii="楷体" w:hAnsi="楷体" w:eastAsia="楷体" w:cs="楷体"/>
          <w:sz w:val="32"/>
          <w:szCs w:val="32"/>
        </w:rPr>
        <w:t xml:space="preserve">4</w:t>
      </w:r>
      <w:r>
        <w:rPr>
          <w:rFonts w:hint="eastAsia" w:ascii="Times New Roman" w:hAnsi="Times New Roman" w:eastAsia="仿宋" w:cs="仿宋"/>
          <w:sz w:val="32"/>
          <w:szCs w:val="32"/>
          <w:lang w:val="zh-TW"/>
        </w:rPr>
        <w:t xml:space="preserve">）。</w:t>
      </w:r>
      <w:r>
        <w:rPr>
          <w:rFonts w:hint="eastAsia" w:ascii="楷体_GB2312" w:hAnsi="楷体_GB2312" w:eastAsia="楷体_GB2312" w:cs="楷体_GB2312"/>
          <w:sz w:val="32"/>
          <w:szCs w:val="32"/>
          <w:lang w:val="zh-TW"/>
        </w:rPr>
        <w:t xml:space="preserve">（省工业和信息化厅负责）</w:t>
      </w:r>
      <w:r>
        <w:rPr>
          <w:rFonts w:ascii="楷体_GB2312" w:hAnsi="楷体_GB2312" w:eastAsia="楷体_GB2312" w:cs="楷体_GB2312"/>
          <w:sz w:val="32"/>
          <w:szCs w:val="32"/>
          <w:lang w:val="zh-TW"/>
        </w:rPr>
      </w:r>
    </w:p>
    <w:p>
      <w:pPr>
        <w:pBdr/>
        <w:tabs>
          <w:tab w:val="left" w:leader="none" w:pos="720"/>
        </w:tabs>
        <w:spacing w:line="670" w:lineRule="exact"/>
        <w:ind w:firstLine="643"/>
        <w:rPr>
          <w:rFonts w:ascii="Times New Roman" w:hAnsi="Times New Roman" w:eastAsia="仿宋" w:cs="仿宋"/>
          <w:sz w:val="32"/>
          <w:szCs w:val="32"/>
          <w:lang w:val="zh-TW"/>
        </w:rPr>
      </w:pPr>
      <w:r>
        <w:rPr>
          <w:rFonts w:hint="eastAsia" w:ascii="Times New Roman" w:hAnsi="Times New Roman" w:eastAsia="仿宋_GB2312" w:cs="仿宋_GB2312"/>
          <w:b/>
          <w:bCs/>
          <w:sz w:val="32"/>
          <w:szCs w:val="32"/>
        </w:rPr>
        <w:t xml:space="preserve">（</w:t>
      </w:r>
      <w:r>
        <w:rPr>
          <w:rFonts w:hint="eastAsia" w:ascii="Times New Roman" w:hAnsi="Times New Roman" w:eastAsia="楷体" w:cs="楷体"/>
          <w:b/>
          <w:bCs/>
          <w:sz w:val="32"/>
          <w:szCs w:val="32"/>
        </w:rPr>
        <w:t xml:space="preserve">六）推进菱镁产业低效产能有序退出。</w:t>
      </w:r>
      <w:r>
        <w:rPr>
          <w:rFonts w:hint="eastAsia" w:ascii="Times New Roman" w:hAnsi="Times New Roman" w:eastAsia="仿宋" w:cs="仿宋"/>
          <w:sz w:val="32"/>
          <w:szCs w:val="32"/>
          <w:lang w:val="zh-TW"/>
        </w:rPr>
        <w:t xml:space="preserve">争取将轻烧反射窑列入国家《产业结构调整指导目录》淘汰类。通过产能置换、改造升级，推动先进工艺装备替代轻烧反射窑。对</w:t>
      </w:r>
      <w:r>
        <w:rPr>
          <w:rFonts w:hint="eastAsia" w:ascii="Times New Roman" w:hAnsi="Times New Roman" w:eastAsia="仿宋" w:cs="Times New Roman"/>
          <w:spacing w:val="-8"/>
          <w:sz w:val="32"/>
          <w:szCs w:val="32"/>
        </w:rPr>
        <w:t xml:space="preserve">193</w:t>
      </w:r>
      <w:r>
        <w:rPr>
          <w:rFonts w:hint="eastAsia" w:ascii="Times New Roman" w:hAnsi="Times New Roman" w:eastAsia="仿宋" w:cs="仿宋"/>
          <w:sz w:val="32"/>
          <w:szCs w:val="32"/>
          <w:lang w:val="zh-TW"/>
        </w:rPr>
        <w:t xml:space="preserve">户企业</w:t>
      </w:r>
      <w:r>
        <w:rPr>
          <w:rFonts w:hint="eastAsia" w:ascii="Times New Roman" w:hAnsi="Times New Roman" w:eastAsia="仿宋" w:cs="Times New Roman"/>
          <w:spacing w:val="-8"/>
          <w:sz w:val="32"/>
          <w:szCs w:val="32"/>
        </w:rPr>
        <w:t xml:space="preserve">1214</w:t>
      </w:r>
      <w:r>
        <w:rPr>
          <w:rFonts w:hint="eastAsia" w:ascii="Times New Roman" w:hAnsi="Times New Roman" w:eastAsia="仿宋" w:cs="仿宋"/>
          <w:sz w:val="32"/>
          <w:szCs w:val="32"/>
          <w:lang w:val="zh-TW"/>
        </w:rPr>
        <w:t xml:space="preserve">座违规轻烧反射窑进行整改（</w:t>
      </w:r>
      <w:r>
        <w:rPr>
          <w:rFonts w:hint="eastAsia" w:ascii="楷体" w:hAnsi="楷体" w:eastAsia="楷体" w:cs="楷体"/>
          <w:sz w:val="32"/>
          <w:szCs w:val="32"/>
          <w:lang w:val="zh-TW"/>
        </w:rPr>
        <w:t xml:space="preserve">见附件</w:t>
      </w:r>
      <w:r>
        <w:rPr>
          <w:rFonts w:hint="eastAsia" w:ascii="楷体" w:hAnsi="楷体" w:eastAsia="楷体" w:cs="楷体"/>
          <w:sz w:val="32"/>
          <w:szCs w:val="32"/>
        </w:rPr>
        <w:t xml:space="preserve">5</w:t>
      </w:r>
      <w:r>
        <w:rPr>
          <w:rFonts w:hint="eastAsia" w:ascii="Times New Roman" w:hAnsi="Times New Roman" w:eastAsia="仿宋" w:cs="仿宋"/>
          <w:sz w:val="32"/>
          <w:szCs w:val="32"/>
          <w:lang w:val="zh-TW"/>
        </w:rPr>
        <w:t xml:space="preserve">）。</w:t>
      </w:r>
      <w:r>
        <w:rPr>
          <w:rFonts w:hint="eastAsia" w:ascii="楷体_GB2312" w:hAnsi="楷体_GB2312" w:eastAsia="楷体_GB2312" w:cs="楷体_GB2312"/>
          <w:sz w:val="32"/>
          <w:szCs w:val="32"/>
          <w:lang w:val="zh-TW"/>
        </w:rPr>
        <w:t xml:space="preserve">（省工业和信息化厅负责）</w:t>
      </w:r>
      <w:r>
        <w:rPr>
          <w:rFonts w:ascii="Times New Roman" w:hAnsi="Times New Roman" w:eastAsia="仿宋" w:cs="仿宋"/>
          <w:sz w:val="32"/>
          <w:szCs w:val="32"/>
          <w:lang w:val="zh-TW"/>
        </w:rPr>
      </w:r>
    </w:p>
    <w:p>
      <w:pPr>
        <w:pBdr/>
        <w:tabs>
          <w:tab w:val="left" w:leader="none" w:pos="720"/>
        </w:tabs>
        <w:spacing w:line="670" w:lineRule="exact"/>
        <w:ind w:firstLine="643"/>
        <w:rPr>
          <w:rFonts w:ascii="楷体_GB2312" w:hAnsi="楷体_GB2312" w:eastAsia="楷体_GB2312" w:cs="楷体_GB2312"/>
          <w:sz w:val="32"/>
          <w:szCs w:val="32"/>
          <w:lang w:val="zh-TW"/>
        </w:rPr>
      </w:pPr>
      <w:r>
        <w:rPr>
          <w:rFonts w:hint="eastAsia" w:ascii="Times New Roman" w:hAnsi="Times New Roman" w:eastAsia="仿宋_GB2312" w:cs="仿宋_GB2312"/>
          <w:b/>
          <w:bCs/>
          <w:sz w:val="32"/>
          <w:szCs w:val="32"/>
        </w:rPr>
        <w:t xml:space="preserve">（</w:t>
      </w:r>
      <w:r>
        <w:rPr>
          <w:rFonts w:hint="eastAsia" w:ascii="Times New Roman" w:hAnsi="Times New Roman" w:eastAsia="楷体" w:cs="楷体"/>
          <w:b/>
          <w:bCs/>
          <w:sz w:val="32"/>
          <w:szCs w:val="32"/>
        </w:rPr>
        <w:t xml:space="preserve">七）开展淘汰落后产能工作“回头看”。</w:t>
      </w:r>
      <w:r>
        <w:rPr>
          <w:rFonts w:hint="eastAsia" w:ascii="Times New Roman" w:hAnsi="Times New Roman" w:eastAsia="仿宋" w:cs="仿宋"/>
          <w:sz w:val="32"/>
          <w:szCs w:val="32"/>
          <w:lang w:val="zh-TW"/>
        </w:rPr>
        <w:t xml:space="preserve">开展已关停退出落后产能和督导检查反馈问题复查，确保落后产能没有恢复和不能恢复。巩固取缔“地条钢”成果，严防死灰复燃。对钢铁、水泥、炼化、平板玻璃等重点领域落后产能再摸排、再清理，对属于《产业结构调整指导目录（</w:t>
      </w:r>
      <w:r>
        <w:rPr>
          <w:rFonts w:hint="eastAsia" w:ascii="Times New Roman" w:hAnsi="Times New Roman" w:eastAsia="仿宋"/>
          <w:spacing w:val="-8"/>
          <w:sz w:val="32"/>
          <w:szCs w:val="32"/>
          <w:lang w:val="zh-TW"/>
        </w:rPr>
        <w:t xml:space="preserve">2019</w:t>
      </w:r>
      <w:r>
        <w:rPr>
          <w:rFonts w:hint="eastAsia" w:ascii="Times New Roman" w:hAnsi="Times New Roman" w:eastAsia="仿宋" w:cs="仿宋"/>
          <w:sz w:val="32"/>
          <w:szCs w:val="32"/>
          <w:lang w:val="zh-TW"/>
        </w:rPr>
        <w:t xml:space="preserve">年本）》所列“落后生产工艺装备”，予以淘汰退出。</w:t>
      </w:r>
      <w:r>
        <w:rPr>
          <w:rFonts w:hint="eastAsia" w:ascii="楷体_GB2312" w:hAnsi="楷体_GB2312" w:eastAsia="楷体_GB2312" w:cs="楷体_GB2312"/>
          <w:sz w:val="32"/>
          <w:szCs w:val="32"/>
          <w:lang w:val="zh-TW"/>
        </w:rPr>
        <w:t xml:space="preserve">（各市人民政府，各相关主管部门）</w:t>
      </w:r>
      <w:r>
        <w:rPr>
          <w:rFonts w:ascii="楷体_GB2312" w:hAnsi="楷体_GB2312" w:eastAsia="楷体_GB2312" w:cs="楷体_GB2312"/>
          <w:sz w:val="32"/>
          <w:szCs w:val="32"/>
          <w:lang w:val="zh-TW"/>
        </w:rPr>
      </w:r>
    </w:p>
    <w:p>
      <w:pPr>
        <w:pBdr/>
        <w:tabs>
          <w:tab w:val="left" w:leader="none" w:pos="720"/>
        </w:tabs>
        <w:spacing w:line="670" w:lineRule="exact"/>
        <w:ind w:firstLine="640"/>
        <w:rPr>
          <w:rFonts w:ascii="Times New Roman" w:hAnsi="Times New Roman" w:eastAsia="仿宋"/>
          <w:sz w:val="32"/>
          <w:szCs w:val="32"/>
        </w:rPr>
      </w:pPr>
      <w:r>
        <w:rPr>
          <w:rFonts w:hint="eastAsia" w:ascii="Times New Roman" w:hAnsi="Times New Roman" w:eastAsia="黑体"/>
          <w:sz w:val="32"/>
          <w:szCs w:val="32"/>
        </w:rPr>
        <w:t xml:space="preserve">三、政策措施</w:t>
      </w:r>
      <w:r>
        <w:rPr>
          <w:rFonts w:ascii="Times New Roman" w:hAnsi="Times New Roman" w:eastAsia="仿宋"/>
          <w:sz w:val="32"/>
          <w:szCs w:val="32"/>
        </w:rPr>
      </w:r>
    </w:p>
    <w:p>
      <w:pPr>
        <w:pBdr/>
        <w:tabs>
          <w:tab w:val="left" w:leader="none" w:pos="720"/>
        </w:tabs>
        <w:spacing w:line="670" w:lineRule="exact"/>
        <w:ind w:firstLine="643"/>
        <w:rPr>
          <w:rFonts w:ascii="Times New Roman" w:hAnsi="Times New Roman" w:eastAsia="仿宋"/>
          <w:sz w:val="32"/>
          <w:szCs w:val="32"/>
        </w:rPr>
      </w:pPr>
      <w:r>
        <w:rPr>
          <w:rFonts w:hint="eastAsia" w:ascii="Times New Roman" w:hAnsi="Times New Roman" w:eastAsia="楷体"/>
          <w:b/>
          <w:bCs/>
          <w:sz w:val="32"/>
          <w:szCs w:val="32"/>
        </w:rPr>
        <w:t xml:space="preserve">（一）制定阶梯电价政策。</w:t>
      </w:r>
      <w:r>
        <w:rPr>
          <w:rFonts w:hint="eastAsia" w:ascii="Times New Roman" w:hAnsi="Times New Roman" w:eastAsia="仿宋" w:cs="仿宋"/>
          <w:sz w:val="32"/>
          <w:szCs w:val="32"/>
        </w:rPr>
        <w:t xml:space="preserve">根据国家文件要求，制定高耗能行业阶梯电价政策，</w:t>
      </w:r>
      <w:r>
        <w:rPr>
          <w:rFonts w:hint="eastAsia" w:ascii="Times New Roman" w:hAnsi="Times New Roman" w:eastAsia="仿宋"/>
          <w:sz w:val="32"/>
          <w:szCs w:val="32"/>
        </w:rPr>
        <w:t xml:space="preserve">对能效达到基准水平的存量企业和能效达到标杆水平的在建、拟建企业用电不加价，未达到的根据能效水平差距实行阶梯电价，加价电费专项用于支持企</w:t>
      </w:r>
      <w:r>
        <w:rPr>
          <w:rFonts w:hint="eastAsia" w:ascii="Times New Roman" w:hAnsi="Times New Roman" w:eastAsia="仿宋"/>
          <w:sz w:val="32"/>
          <w:szCs w:val="32"/>
        </w:rPr>
        <w:t xml:space="preserve">业节能减污降碳技术改造。</w:t>
      </w:r>
      <w:r>
        <w:rPr>
          <w:rFonts w:hint="eastAsia" w:ascii="楷体_GB2312" w:hAnsi="楷体_GB2312" w:eastAsia="楷体_GB2312" w:cs="楷体_GB2312"/>
          <w:sz w:val="32"/>
          <w:szCs w:val="32"/>
        </w:rPr>
        <w:t xml:space="preserve">（省发展改革委负责）</w:t>
      </w:r>
      <w:r>
        <w:rPr>
          <w:rFonts w:ascii="Times New Roman" w:hAnsi="Times New Roman" w:eastAsia="仿宋"/>
          <w:sz w:val="32"/>
          <w:szCs w:val="32"/>
        </w:rPr>
      </w:r>
    </w:p>
    <w:p>
      <w:pPr>
        <w:pBdr/>
        <w:tabs>
          <w:tab w:val="left" w:leader="none" w:pos="720"/>
        </w:tabs>
        <w:spacing w:line="670" w:lineRule="exact"/>
        <w:ind w:firstLine="643"/>
        <w:rPr>
          <w:rFonts w:ascii="楷体_GB2312" w:hAnsi="楷体_GB2312" w:eastAsia="楷体_GB2312" w:cs="楷体_GB2312"/>
          <w:sz w:val="32"/>
          <w:szCs w:val="32"/>
        </w:rPr>
      </w:pPr>
      <w:r>
        <w:rPr>
          <w:rFonts w:hint="eastAsia" w:ascii="Times New Roman" w:hAnsi="Times New Roman" w:eastAsia="楷体"/>
          <w:b/>
          <w:bCs/>
          <w:sz w:val="32"/>
          <w:szCs w:val="32"/>
        </w:rPr>
        <w:t xml:space="preserve">（二）落</w:t>
      </w:r>
      <w:r>
        <w:rPr>
          <w:rFonts w:hint="eastAsia" w:ascii="Times New Roman" w:hAnsi="Times New Roman" w:eastAsia="楷体"/>
          <w:b/>
          <w:bCs/>
          <w:spacing w:val="6"/>
          <w:sz w:val="32"/>
          <w:szCs w:val="32"/>
        </w:rPr>
        <w:t xml:space="preserve">实差别化信贷政策。</w:t>
      </w:r>
      <w:r>
        <w:rPr>
          <w:rFonts w:hint="eastAsia" w:ascii="Times New Roman" w:hAnsi="Times New Roman" w:eastAsia="仿宋"/>
          <w:spacing w:val="6"/>
          <w:sz w:val="32"/>
          <w:szCs w:val="32"/>
        </w:rPr>
        <w:t xml:space="preserve">落实有保有控的金融政策，对有效益、有前景，且主动退出低端低效产能、化解过剩产能、实施兼并重组的企业，按照风险可控、商业可持续原则，予以信贷支持。对未按期退出落后产能的企业，严控新增授信，压缩退出存量贷款。运用市场化手段妥善处置企业债务和银行不良资产。</w:t>
      </w:r>
      <w:r>
        <w:rPr>
          <w:rFonts w:hint="eastAsia" w:ascii="楷体_GB2312" w:hAnsi="楷体_GB2312" w:eastAsia="楷体_GB2312" w:cs="楷体_GB2312"/>
          <w:sz w:val="32"/>
          <w:szCs w:val="32"/>
        </w:rPr>
        <w:t xml:space="preserve">（人民银行沈阳分行、辽宁银保监局负责）</w:t>
      </w:r>
      <w:r>
        <w:rPr>
          <w:rFonts w:ascii="楷体_GB2312" w:hAnsi="楷体_GB2312" w:eastAsia="楷体_GB2312" w:cs="楷体_GB2312"/>
          <w:sz w:val="32"/>
          <w:szCs w:val="32"/>
        </w:rPr>
      </w:r>
    </w:p>
    <w:p>
      <w:pPr>
        <w:pBdr/>
        <w:tabs>
          <w:tab w:val="left" w:leader="none" w:pos="720"/>
        </w:tabs>
        <w:spacing w:line="670" w:lineRule="exact"/>
        <w:ind w:firstLine="667"/>
        <w:rPr>
          <w:rFonts w:ascii="楷体_GB2312" w:hAnsi="楷体_GB2312" w:eastAsia="楷体_GB2312" w:cs="楷体_GB2312"/>
          <w:sz w:val="32"/>
          <w:szCs w:val="32"/>
        </w:rPr>
      </w:pPr>
      <w:r>
        <w:rPr>
          <w:rFonts w:hint="eastAsia" w:ascii="Times New Roman" w:hAnsi="Times New Roman" w:eastAsia="楷体"/>
          <w:b/>
          <w:bCs/>
          <w:spacing w:val="6"/>
          <w:sz w:val="32"/>
          <w:szCs w:val="32"/>
        </w:rPr>
        <w:t xml:space="preserve">（三）做好职工安置。</w:t>
      </w:r>
      <w:r>
        <w:rPr>
          <w:rFonts w:hint="eastAsia" w:ascii="Times New Roman" w:hAnsi="Times New Roman" w:eastAsia="仿宋"/>
          <w:spacing w:val="6"/>
          <w:sz w:val="32"/>
          <w:szCs w:val="32"/>
        </w:rPr>
        <w:t xml:space="preserve">指导企业落实主体责任，制定好职工安置方案和风险处置预案。落实促进自主创业、鼓励企业吸纳就业和帮扶困难人员就业等各项政策，做好社保关系转移和接续，按规定落实好社会保障待遇。加强职业介绍和技能培训，增强失业人员的再就业能力。</w:t>
      </w:r>
      <w:r>
        <w:rPr>
          <w:rFonts w:hint="eastAsia" w:ascii="楷体_GB2312" w:hAnsi="楷体_GB2312" w:eastAsia="楷体_GB2312" w:cs="楷体_GB2312"/>
          <w:sz w:val="32"/>
          <w:szCs w:val="32"/>
        </w:rPr>
        <w:t xml:space="preserve">（省人力资源社会保障厅负责）</w:t>
      </w:r>
      <w:r>
        <w:rPr>
          <w:rFonts w:ascii="楷体_GB2312" w:hAnsi="楷体_GB2312" w:eastAsia="楷体_GB2312" w:cs="楷体_GB2312"/>
          <w:sz w:val="32"/>
          <w:szCs w:val="32"/>
        </w:rPr>
      </w:r>
    </w:p>
    <w:p>
      <w:pPr>
        <w:pBdr/>
        <w:tabs>
          <w:tab w:val="left" w:leader="none" w:pos="720"/>
        </w:tabs>
        <w:spacing w:line="670" w:lineRule="exact"/>
        <w:ind w:firstLine="643"/>
        <w:rPr>
          <w:rFonts w:ascii="楷体_GB2312" w:hAnsi="楷体_GB2312" w:eastAsia="楷体_GB2312" w:cs="楷体_GB2312"/>
          <w:sz w:val="32"/>
          <w:szCs w:val="32"/>
        </w:rPr>
      </w:pPr>
      <w:r>
        <w:rPr>
          <w:rFonts w:hint="eastAsia" w:ascii="Times New Roman" w:hAnsi="Times New Roman" w:eastAsia="楷体"/>
          <w:b/>
          <w:bCs/>
          <w:sz w:val="32"/>
          <w:szCs w:val="32"/>
        </w:rPr>
        <w:t xml:space="preserve">（四）盘活土地资源。</w:t>
      </w:r>
      <w:r>
        <w:rPr>
          <w:rFonts w:hint="eastAsia" w:ascii="Times New Roman" w:hAnsi="Times New Roman" w:eastAsia="仿宋"/>
          <w:sz w:val="32"/>
          <w:szCs w:val="32"/>
        </w:rPr>
        <w:t xml:space="preserve">产能退出后的划拨用地，可依法转让或由地方政府收回，地方政府收回原划拨土地使用权后的土地出让收入，可按规定通过预算安排支付产能退出企业职工安置费用。</w:t>
      </w:r>
      <w:r>
        <w:rPr>
          <w:rFonts w:hint="eastAsia" w:ascii="楷体_GB2312" w:hAnsi="楷体_GB2312" w:eastAsia="楷体_GB2312" w:cs="楷体_GB2312"/>
          <w:sz w:val="32"/>
          <w:szCs w:val="32"/>
        </w:rPr>
        <w:t xml:space="preserve">（各市人民政府、省自然资源厅、省财政厅负责）</w:t>
      </w:r>
      <w:r>
        <w:rPr>
          <w:rFonts w:ascii="楷体_GB2312" w:hAnsi="楷体_GB2312" w:eastAsia="楷体_GB2312" w:cs="楷体_GB2312"/>
          <w:sz w:val="32"/>
          <w:szCs w:val="32"/>
        </w:rPr>
      </w:r>
    </w:p>
    <w:p>
      <w:pPr>
        <w:pBdr/>
        <w:tabs>
          <w:tab w:val="left" w:leader="none" w:pos="720"/>
        </w:tabs>
        <w:spacing w:line="670" w:lineRule="exact"/>
        <w:ind w:firstLine="643"/>
        <w:rPr>
          <w:rFonts w:ascii="楷体_GB2312" w:hAnsi="楷体_GB2312" w:eastAsia="楷体_GB2312" w:cs="楷体_GB2312"/>
          <w:sz w:val="32"/>
          <w:szCs w:val="32"/>
        </w:rPr>
      </w:pPr>
      <w:r>
        <w:rPr>
          <w:rFonts w:hint="eastAsia" w:ascii="Times New Roman" w:hAnsi="Times New Roman" w:eastAsia="楷体"/>
          <w:b/>
          <w:bCs/>
          <w:sz w:val="32"/>
          <w:szCs w:val="32"/>
        </w:rPr>
        <w:t xml:space="preserve">（五）强化惩戒约束。</w:t>
      </w:r>
      <w:r>
        <w:rPr>
          <w:rFonts w:hint="eastAsia" w:ascii="Times New Roman" w:hAnsi="Times New Roman" w:eastAsia="仿宋"/>
          <w:sz w:val="32"/>
          <w:szCs w:val="32"/>
          <w:shd w:val="clear" w:color="auto" w:fill="ffffff"/>
        </w:rPr>
        <w:t xml:space="preserve">对不按期淘</w:t>
      </w:r>
      <w:r>
        <w:rPr>
          <w:rFonts w:hint="eastAsia" w:ascii="Times New Roman" w:hAnsi="Times New Roman" w:eastAsia="仿宋"/>
          <w:sz w:val="32"/>
          <w:szCs w:val="32"/>
          <w:shd w:val="clear" w:color="auto" w:fill="ffffff"/>
        </w:rPr>
        <w:t xml:space="preserve">汰落后生产工艺装备的企业，地方各级人民政府及有关部门要依据国家有关法律法规责令其停产或予以关闭，并采取妥善措施安置企业人员、保全金融机构信贷资产安全等；其产品属实行生产许可证管理的，有关部门要依法吊销生产许可证</w:t>
      </w:r>
      <w:r>
        <w:rPr>
          <w:rFonts w:hint="eastAsia" w:ascii="Times New Roman" w:hAnsi="Times New Roman" w:eastAsia="仿宋"/>
          <w:sz w:val="32"/>
          <w:szCs w:val="32"/>
          <w:shd w:val="clear" w:color="auto" w:fill="ffffff"/>
        </w:rPr>
        <w:t xml:space="preserve">,</w:t>
      </w:r>
      <w:r>
        <w:rPr>
          <w:rFonts w:hint="eastAsia" w:ascii="Times New Roman" w:hAnsi="Times New Roman" w:eastAsia="仿宋"/>
          <w:sz w:val="32"/>
          <w:szCs w:val="32"/>
          <w:shd w:val="clear" w:color="auto" w:fill="ffffff"/>
        </w:rPr>
        <w:t xml:space="preserve">督促其依法办理变更登记或注销登记；被依法终止的企业，生态环境保护部门要注销其排污许可证；电力供应企业要配合地方政府依法停止供电。</w:t>
      </w:r>
      <w:r>
        <w:rPr>
          <w:rFonts w:hint="eastAsia" w:ascii="Times New Roman" w:hAnsi="Times New Roman" w:eastAsia="仿宋"/>
          <w:sz w:val="32"/>
          <w:szCs w:val="32"/>
        </w:rPr>
        <w:t xml:space="preserve">各相关部门将重点行业违法违规企业及未按期淘汰落后产能企业列为重点监管对象，加大“双随机、一公开”比例和频次，并通过“互联网</w:t>
      </w:r>
      <w:r>
        <w:rPr>
          <w:rFonts w:hint="eastAsia" w:ascii="Times New Roman" w:hAnsi="Times New Roman" w:eastAsia="仿宋"/>
          <w:sz w:val="32"/>
          <w:szCs w:val="32"/>
        </w:rPr>
        <w:t xml:space="preserve">+</w:t>
      </w:r>
      <w:r>
        <w:rPr>
          <w:rFonts w:hint="eastAsia" w:ascii="Times New Roman" w:hAnsi="Times New Roman" w:eastAsia="仿宋"/>
          <w:sz w:val="32"/>
          <w:szCs w:val="32"/>
        </w:rPr>
        <w:t xml:space="preserve">监管”系统公示抽查检查结果，实施协同监管。</w:t>
      </w:r>
      <w:r>
        <w:rPr>
          <w:rFonts w:hint="eastAsia" w:ascii="楷体_GB2312" w:hAnsi="楷体_GB2312" w:eastAsia="楷体_GB2312" w:cs="楷体_GB2312"/>
          <w:sz w:val="32"/>
          <w:szCs w:val="32"/>
        </w:rPr>
        <w:t xml:space="preserve">（各市</w:t>
      </w:r>
      <w:r>
        <w:rPr>
          <w:rFonts w:hint="eastAsia" w:ascii="楷体_GB2312" w:hAnsi="楷体_GB2312" w:eastAsia="楷体_GB2312" w:cs="楷体_GB2312"/>
          <w:sz w:val="32"/>
          <w:szCs w:val="32"/>
        </w:rPr>
        <w:t xml:space="preserve">人民政府，省发展改革委、省工业和信息化厅、省自然资源厅、辽宁银保监局、省税务局、省市场监管局、省应急厅、省生态环境厅、省财政厅、人民银行沈阳分行、省电力公司负责）</w:t>
      </w:r>
      <w:r>
        <w:rPr>
          <w:rFonts w:ascii="楷体_GB2312" w:hAnsi="楷体_GB2312" w:eastAsia="楷体_GB2312" w:cs="楷体_GB2312"/>
          <w:sz w:val="32"/>
          <w:szCs w:val="32"/>
        </w:rPr>
      </w:r>
    </w:p>
    <w:p>
      <w:pPr>
        <w:pBdr/>
        <w:tabs>
          <w:tab w:val="left" w:leader="none" w:pos="720"/>
        </w:tabs>
        <w:spacing w:line="670" w:lineRule="exact"/>
        <w:ind w:firstLine="640"/>
        <w:contextualSpacing w:val="true"/>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Times New Roman" w:hAnsi="Times New Roman" w:eastAsia="黑体"/>
          <w:sz w:val="32"/>
          <w:szCs w:val="32"/>
        </w:rPr>
        <w:t xml:space="preserve">四、组织实施</w:t>
      </w:r>
      <w:r>
        <w:rPr>
          <w:rFonts w:ascii="Times New Roman" w:hAnsi="Times New Roman" w:eastAsia="黑体"/>
          <w:sz w:val="32"/>
          <w:szCs w:val="32"/>
        </w:rPr>
      </w:r>
    </w:p>
    <w:p>
      <w:pPr>
        <w:pBdr/>
        <w:tabs>
          <w:tab w:val="left" w:leader="none" w:pos="720"/>
        </w:tabs>
        <w:spacing w:line="670" w:lineRule="exact"/>
        <w:ind w:firstLine="643"/>
        <w:contextualSpacing w:val="true"/>
        <w:rPr>
          <w:rFonts w:ascii="楷体_GB2312" w:hAnsi="楷体_GB2312" w:eastAsia="楷体_GB2312" w:cs="楷体_GB2312"/>
          <w:sz w:val="32"/>
          <w:szCs w:val="32"/>
        </w:rPr>
      </w:pPr>
      <w:r>
        <w:rPr>
          <w:rFonts w:hint="eastAsia" w:ascii="Times New Roman" w:hAnsi="Times New Roman" w:eastAsia="楷体"/>
          <w:b/>
          <w:bCs/>
          <w:sz w:val="32"/>
          <w:szCs w:val="32"/>
        </w:rPr>
        <w:t xml:space="preserve">（一）强化信息公开。</w:t>
      </w:r>
      <w:r>
        <w:rPr>
          <w:rFonts w:hint="eastAsia" w:ascii="Times New Roman" w:hAnsi="Times New Roman" w:eastAsia="仿宋"/>
          <w:sz w:val="32"/>
          <w:szCs w:val="32"/>
        </w:rPr>
        <w:t xml:space="preserve">全省各级工业和信息化、发展改革、市场监管、应急管理等主管部门，要定期公告不达标应限期整改的企业名单（“黄牌”名单），以及经整改仍不达标、已依法关闭的企业名单（“红牌”名单）。环境保护主管部门</w:t>
      </w:r>
      <w:r>
        <w:rPr>
          <w:rFonts w:hint="eastAsia" w:ascii="Times New Roman" w:hAnsi="Times New Roman" w:eastAsia="仿宋"/>
          <w:sz w:val="32"/>
          <w:szCs w:val="32"/>
        </w:rPr>
        <w:t xml:space="preserve">要定期公告超标排放企业名单，以及超标排放情节严重的企业名单。各相关部门定期向省</w:t>
      </w:r>
      <w:r>
        <w:rPr>
          <w:rFonts w:hint="eastAsia" w:ascii="Times New Roman" w:hAnsi="Times New Roman" w:eastAsia="仿宋" w:cs="仿宋"/>
          <w:sz w:val="32"/>
          <w:szCs w:val="32"/>
        </w:rPr>
        <w:t xml:space="preserve">淘汰落后产能工作协调小组办公室（以下简称“协</w:t>
      </w:r>
      <w:r>
        <w:rPr>
          <w:rFonts w:hint="eastAsia" w:ascii="Times New Roman" w:hAnsi="Times New Roman" w:eastAsia="仿宋" w:cs="仿宋"/>
          <w:sz w:val="32"/>
          <w:szCs w:val="32"/>
        </w:rPr>
        <w:t xml:space="preserve">调小组办公室”）报送违法违规企业名单，由小组办公室通报各成员单位</w:t>
      </w:r>
      <w:r>
        <w:rPr>
          <w:rFonts w:hint="eastAsia" w:ascii="Times New Roman" w:hAnsi="Times New Roman" w:eastAsia="仿宋"/>
          <w:sz w:val="32"/>
          <w:szCs w:val="32"/>
        </w:rPr>
        <w:t xml:space="preserve">。</w:t>
      </w:r>
      <w:r>
        <w:rPr>
          <w:rFonts w:hint="eastAsia" w:ascii="楷体_GB2312" w:hAnsi="楷体_GB2312" w:eastAsia="楷体_GB2312" w:cs="楷体_GB2312"/>
          <w:sz w:val="32"/>
          <w:szCs w:val="32"/>
        </w:rPr>
        <w:t xml:space="preserve">（省工业和信息化厅、省发展改革委、省生态环境厅、省市场监管局、省应急厅、省自然资源厅按职责分工负责）</w:t>
      </w:r>
      <w:r>
        <w:rPr>
          <w:rFonts w:hint="eastAsia" w:ascii="楷体_GB2312" w:hAnsi="楷体_GB2312" w:eastAsia="楷体_GB2312" w:cs="楷体_GB2312"/>
          <w:sz w:val="32"/>
          <w:szCs w:val="32"/>
        </w:rPr>
        <w:t xml:space="preserve"> </w:t>
      </w:r>
      <w:r>
        <w:rPr>
          <w:rFonts w:hint="eastAsia" w:ascii="Times New Roman" w:hAnsi="Times New Roman" w:eastAsia="仿宋"/>
          <w:sz w:val="32"/>
          <w:szCs w:val="32"/>
        </w:rPr>
        <w:br/>
      </w:r>
      <w:r>
        <w:rPr>
          <w:rFonts w:hint="eastAsia" w:ascii="Times New Roman" w:hAnsi="Times New Roman" w:eastAsia="楷体"/>
          <w:b/>
          <w:bCs/>
          <w:sz w:val="32"/>
          <w:szCs w:val="32"/>
        </w:rPr>
        <w:t xml:space="preserve">（二）加强社会监督。</w:t>
      </w:r>
      <w:r>
        <w:rPr>
          <w:rFonts w:hint="eastAsia" w:ascii="Times New Roman" w:hAnsi="Times New Roman" w:eastAsia="仿宋"/>
          <w:sz w:val="32"/>
          <w:szCs w:val="32"/>
        </w:rPr>
        <w:t xml:space="preserve">畅通举报渠道，强化举报核查，各级淘汰落后产能举报平台接到的举报案件，属于能耗、环保、安全、技术达不到标准和生产不合格产品或淘汰类产能，按职责限期核查。实名举报做到有报必查。对漏报、瞒报落后产能并经举报或媒体反映核实的，将依法依规、从严从重追究各级政府及其部门的责任。</w:t>
      </w:r>
      <w:r>
        <w:rPr>
          <w:rFonts w:hint="eastAsia" w:ascii="楷体_GB2312" w:hAnsi="楷体_GB2312" w:eastAsia="楷体_GB2312" w:cs="楷体_GB2312"/>
          <w:sz w:val="32"/>
          <w:szCs w:val="32"/>
        </w:rPr>
        <w:t xml:space="preserve">（省工业和信息化厅、省发展改革委、省生态环境厅、省市场监</w:t>
      </w:r>
      <w:r>
        <w:rPr>
          <w:rFonts w:hint="eastAsia" w:ascii="楷体_GB2312" w:hAnsi="楷体_GB2312" w:eastAsia="楷体_GB2312" w:cs="楷体_GB2312"/>
          <w:sz w:val="32"/>
          <w:szCs w:val="32"/>
        </w:rPr>
        <w:t xml:space="preserve">管局、省应急厅按职责分工负责）</w:t>
      </w:r>
      <w:r>
        <w:rPr>
          <w:rFonts w:ascii="楷体_GB2312" w:hAnsi="楷体_GB2312" w:eastAsia="楷体_GB2312" w:cs="楷体_GB2312"/>
          <w:sz w:val="32"/>
          <w:szCs w:val="32"/>
        </w:rPr>
      </w:r>
    </w:p>
    <w:p>
      <w:pPr>
        <w:pBdr/>
        <w:tabs>
          <w:tab w:val="left" w:leader="none" w:pos="720"/>
        </w:tabs>
        <w:spacing w:line="670" w:lineRule="exact"/>
        <w:ind w:firstLine="643"/>
        <w:contextualSpacing w:val="true"/>
        <w:rPr>
          <w:rFonts w:ascii="楷体_GB2312" w:hAnsi="楷体_GB2312" w:eastAsia="楷体_GB2312" w:cs="楷体_GB2312"/>
          <w:sz w:val="32"/>
          <w:szCs w:val="32"/>
        </w:rPr>
      </w:pPr>
      <w:r>
        <w:rPr>
          <w:rFonts w:hint="eastAsia" w:ascii="Times New Roman" w:hAnsi="Times New Roman" w:eastAsia="楷体"/>
          <w:b/>
          <w:bCs/>
          <w:sz w:val="32"/>
          <w:szCs w:val="32"/>
        </w:rPr>
        <w:t xml:space="preserve">（三）加强业务培训。</w:t>
      </w:r>
      <w:r>
        <w:rPr>
          <w:rFonts w:hint="eastAsia" w:ascii="Times New Roman" w:hAnsi="Times New Roman" w:eastAsia="仿宋"/>
          <w:sz w:val="32"/>
          <w:szCs w:val="32"/>
        </w:rPr>
        <w:t xml:space="preserve">加强对全省淘汰落后产能工作的指导，有针对性开展业务培训，提高基层工作人员的业务素质。加强对淘汰落后产能的政策宣贯，鼓励企业主动淘汰落后产能，实现产业转型升级。进一步充实专家库队伍，为淘汰落后产能工作提供专家支撑。</w:t>
      </w:r>
      <w:r>
        <w:rPr>
          <w:rFonts w:hint="eastAsia" w:ascii="楷体_GB2312" w:hAnsi="楷体_GB2312" w:eastAsia="楷体_GB2312" w:cs="楷体_GB2312"/>
          <w:sz w:val="32"/>
          <w:szCs w:val="32"/>
        </w:rPr>
        <w:t xml:space="preserve">（各相关部门按职责分工负</w:t>
      </w:r>
      <w:r>
        <w:rPr>
          <w:rFonts w:hint="eastAsia" w:ascii="楷体_GB2312" w:hAnsi="楷体_GB2312" w:eastAsia="楷体_GB2312" w:cs="楷体_GB2312"/>
          <w:sz w:val="32"/>
          <w:szCs w:val="32"/>
        </w:rPr>
        <w:t xml:space="preserve">责）</w:t>
      </w:r>
      <w:r>
        <w:rPr>
          <w:rFonts w:ascii="楷体_GB2312" w:hAnsi="楷体_GB2312" w:eastAsia="楷体_GB2312" w:cs="楷体_GB2312"/>
          <w:sz w:val="32"/>
          <w:szCs w:val="32"/>
        </w:rPr>
      </w:r>
    </w:p>
    <w:p>
      <w:pPr>
        <w:pBdr/>
        <w:spacing w:line="670" w:lineRule="exact"/>
        <w:ind w:firstLine="640"/>
        <w:rPr>
          <w:rFonts w:eastAsia="黑体"/>
          <w:sz w:val="32"/>
          <w:szCs w:val="32"/>
        </w:rPr>
      </w:pPr>
      <w:r>
        <w:rPr>
          <w:rFonts w:hint="eastAsia" w:eastAsia="黑体"/>
          <w:sz w:val="32"/>
          <w:szCs w:val="32"/>
        </w:rPr>
        <w:t xml:space="preserve">五、</w:t>
      </w:r>
      <w:r>
        <w:rPr>
          <w:rFonts w:eastAsia="黑体"/>
          <w:sz w:val="32"/>
          <w:szCs w:val="32"/>
        </w:rPr>
        <w:t xml:space="preserve">工作进度</w:t>
      </w:r>
      <w:r>
        <w:rPr>
          <w:rFonts w:hint="eastAsia" w:eastAsia="黑体"/>
          <w:sz w:val="32"/>
          <w:szCs w:val="32"/>
        </w:rPr>
        <w:t xml:space="preserve">安排</w:t>
      </w:r>
      <w:r>
        <w:rPr>
          <w:rFonts w:eastAsia="黑体"/>
          <w:sz w:val="32"/>
          <w:szCs w:val="32"/>
        </w:rPr>
      </w:r>
    </w:p>
    <w:p>
      <w:pPr>
        <w:pBdr/>
        <w:spacing w:line="670" w:lineRule="exact"/>
        <w:ind/>
        <w:rPr>
          <w:rFonts w:ascii="楷体" w:hAnsi="楷体" w:eastAsia="楷体" w:cs="楷体"/>
          <w:sz w:val="32"/>
          <w:szCs w:val="32"/>
        </w:rPr>
      </w:pPr>
      <w:r>
        <w:rPr>
          <w:rFonts w:hint="eastAsia" w:ascii="楷体" w:hAnsi="楷体" w:eastAsia="楷体" w:cs="楷体"/>
          <w:sz w:val="32"/>
          <w:szCs w:val="32"/>
        </w:rPr>
        <w:t xml:space="preserve">    </w:t>
      </w:r>
      <w:r>
        <w:rPr>
          <w:rFonts w:hint="eastAsia" w:ascii="楷体" w:hAnsi="楷体" w:eastAsia="楷体" w:cs="楷体"/>
          <w:sz w:val="32"/>
          <w:szCs w:val="32"/>
        </w:rPr>
        <w:t xml:space="preserve">（一）退出阶段（</w:t>
      </w:r>
      <w:r>
        <w:rPr>
          <w:rFonts w:hint="eastAsia" w:ascii="楷体" w:hAnsi="楷体" w:eastAsia="楷体" w:cs="楷体"/>
          <w:sz w:val="32"/>
          <w:szCs w:val="32"/>
        </w:rPr>
        <w:t xml:space="preserve">11</w:t>
      </w:r>
      <w:r>
        <w:rPr>
          <w:rFonts w:hint="eastAsia" w:ascii="楷体" w:hAnsi="楷体" w:eastAsia="楷体" w:cs="楷体"/>
          <w:sz w:val="32"/>
          <w:szCs w:val="32"/>
        </w:rPr>
        <w:t xml:space="preserve">月</w:t>
      </w:r>
      <w:r>
        <w:rPr>
          <w:rFonts w:hint="eastAsia" w:ascii="楷体" w:hAnsi="楷体" w:eastAsia="楷体" w:cs="楷体"/>
          <w:sz w:val="32"/>
          <w:szCs w:val="32"/>
        </w:rPr>
        <w:t xml:space="preserve">30</w:t>
      </w:r>
      <w:r>
        <w:rPr>
          <w:rFonts w:hint="eastAsia" w:ascii="楷体" w:hAnsi="楷体" w:eastAsia="楷体" w:cs="楷体"/>
          <w:sz w:val="32"/>
          <w:szCs w:val="32"/>
        </w:rPr>
        <w:t xml:space="preserve">日前）</w:t>
      </w:r>
      <w:r>
        <w:rPr>
          <w:rFonts w:ascii="楷体" w:hAnsi="楷体" w:eastAsia="楷体" w:cs="楷体"/>
          <w:sz w:val="32"/>
          <w:szCs w:val="32"/>
        </w:rPr>
      </w:r>
    </w:p>
    <w:p>
      <w:pPr>
        <w:pBdr/>
        <w:tabs>
          <w:tab w:val="left" w:leader="none" w:pos="720"/>
        </w:tabs>
        <w:spacing w:line="670" w:lineRule="exact"/>
        <w:ind w:firstLine="640"/>
        <w:contextualSpacing w:val="true"/>
        <w:rPr>
          <w:rFonts w:ascii="Times New Roman" w:hAnsi="Times New Roman" w:eastAsia="仿宋"/>
          <w:sz w:val="32"/>
          <w:szCs w:val="32"/>
        </w:rPr>
      </w:pPr>
      <w:r>
        <w:rPr>
          <w:rFonts w:hint="eastAsia" w:ascii="Times New Roman" w:hAnsi="Times New Roman" w:eastAsia="仿宋"/>
          <w:sz w:val="32"/>
          <w:szCs w:val="32"/>
        </w:rPr>
        <w:t xml:space="preserve">各市人民政府、省协调小组各成员单位在前期摸排基础上，按照年度重点任务，结合工作实际，进一步核实、明确今年淘汰落后产能需完成的工作任务和时间节点，并将拟淘汰落后产能企业名单和拟处置措施纳入各市、各部门《利用综合标准依法依规推动落后产能退出工作方案》，于</w:t>
      </w:r>
      <w:r>
        <w:rPr>
          <w:rFonts w:hint="eastAsia" w:ascii="Times New Roman" w:hAnsi="Times New Roman" w:eastAsia="仿宋"/>
          <w:sz w:val="32"/>
          <w:szCs w:val="32"/>
        </w:rPr>
        <w:t xml:space="preserve">9</w:t>
      </w:r>
      <w:r>
        <w:rPr>
          <w:rFonts w:hint="eastAsia" w:ascii="Times New Roman" w:hAnsi="Times New Roman" w:eastAsia="仿宋"/>
          <w:sz w:val="32"/>
          <w:szCs w:val="32"/>
        </w:rPr>
        <w:t xml:space="preserve">月</w:t>
      </w:r>
      <w:r>
        <w:rPr>
          <w:rFonts w:hint="eastAsia" w:ascii="Times New Roman" w:hAnsi="Times New Roman" w:eastAsia="仿宋"/>
          <w:sz w:val="32"/>
          <w:szCs w:val="32"/>
        </w:rPr>
        <w:t xml:space="preserve">23</w:t>
      </w:r>
      <w:r>
        <w:rPr>
          <w:rFonts w:hint="eastAsia" w:ascii="Times New Roman" w:hAnsi="Times New Roman" w:eastAsia="仿宋"/>
          <w:sz w:val="32"/>
          <w:szCs w:val="32"/>
        </w:rPr>
        <w:t xml:space="preserve">日前将年度工作方案报送省协调小组办公室。</w:t>
      </w:r>
      <w:r>
        <w:rPr>
          <w:rFonts w:ascii="Times New Roman" w:hAnsi="Times New Roman" w:eastAsia="仿宋"/>
          <w:sz w:val="32"/>
          <w:szCs w:val="32"/>
        </w:rPr>
      </w:r>
    </w:p>
    <w:p>
      <w:pPr>
        <w:pBdr/>
        <w:tabs>
          <w:tab w:val="left" w:leader="none" w:pos="720"/>
        </w:tabs>
        <w:spacing w:line="670" w:lineRule="exact"/>
        <w:ind w:firstLine="640"/>
        <w:contextualSpacing w:val="true"/>
        <w:rPr>
          <w:rFonts w:ascii="Times New Roman" w:hAnsi="Times New Roman" w:eastAsia="仿宋"/>
          <w:sz w:val="32"/>
          <w:szCs w:val="32"/>
        </w:rPr>
      </w:pPr>
      <w:r>
        <w:rPr>
          <w:rFonts w:hint="eastAsia" w:ascii="Times New Roman" w:hAnsi="Times New Roman" w:eastAsia="仿宋"/>
          <w:sz w:val="32"/>
          <w:szCs w:val="32"/>
        </w:rPr>
        <w:t xml:space="preserve">各市人民政府、各级主管部门要按照相关规定，通过依法关停、停业、关闭、取缔整个企业，或采取断电、断水，拆除动力装置，封存主体设备等措施淘汰相关主体设备（生产线），使相应产能不再投入生产，或通过产能置换、改造升级淘汰</w:t>
      </w:r>
      <w:r>
        <w:rPr>
          <w:rFonts w:hint="eastAsia" w:ascii="Times New Roman" w:hAnsi="Times New Roman" w:eastAsia="仿宋"/>
          <w:sz w:val="32"/>
          <w:szCs w:val="32"/>
        </w:rPr>
        <w:t xml:space="preserve">落后产能。按规定做好落后产能退出的验收、公告和档案保存工作。</w:t>
      </w:r>
      <w:r>
        <w:rPr>
          <w:rFonts w:hint="eastAsia" w:ascii="Times New Roman" w:hAnsi="Times New Roman" w:eastAsia="仿宋"/>
          <w:sz w:val="32"/>
          <w:szCs w:val="32"/>
        </w:rPr>
        <w:t xml:space="preserve">11</w:t>
      </w:r>
      <w:r>
        <w:rPr>
          <w:rFonts w:hint="eastAsia" w:ascii="Times New Roman" w:hAnsi="Times New Roman" w:eastAsia="仿宋"/>
          <w:sz w:val="32"/>
          <w:szCs w:val="32"/>
        </w:rPr>
        <w:t xml:space="preserve">月</w:t>
      </w:r>
      <w:r>
        <w:rPr>
          <w:rFonts w:hint="eastAsia" w:ascii="Times New Roman" w:hAnsi="Times New Roman" w:eastAsia="仿宋"/>
          <w:sz w:val="32"/>
          <w:szCs w:val="32"/>
        </w:rPr>
        <w:t xml:space="preserve">30</w:t>
      </w:r>
      <w:r>
        <w:rPr>
          <w:rFonts w:hint="eastAsia" w:ascii="Times New Roman" w:hAnsi="Times New Roman" w:eastAsia="仿宋"/>
          <w:sz w:val="32"/>
          <w:szCs w:val="32"/>
        </w:rPr>
        <w:t xml:space="preserve">日前按照年度工作方案完成全年重点任务。</w:t>
      </w:r>
      <w:r>
        <w:rPr>
          <w:rFonts w:ascii="Times New Roman" w:hAnsi="Times New Roman" w:eastAsia="仿宋"/>
          <w:sz w:val="32"/>
          <w:szCs w:val="32"/>
        </w:rPr>
      </w:r>
    </w:p>
    <w:p>
      <w:pPr>
        <w:pBdr/>
        <w:tabs>
          <w:tab w:val="left" w:leader="none" w:pos="720"/>
        </w:tabs>
        <w:spacing w:line="670" w:lineRule="exact"/>
        <w:ind w:firstLine="640"/>
        <w:contextualSpacing w:val="true"/>
        <w:rPr>
          <w:rFonts w:ascii="楷体" w:hAnsi="楷体" w:eastAsia="楷体" w:cs="楷体"/>
          <w:sz w:val="32"/>
          <w:szCs w:val="32"/>
        </w:rPr>
      </w:pPr>
      <w:r>
        <w:rPr>
          <w:rFonts w:hint="eastAsia" w:ascii="楷体" w:hAnsi="楷体" w:eastAsia="楷体" w:cs="楷体"/>
          <w:sz w:val="32"/>
          <w:szCs w:val="32"/>
        </w:rPr>
        <w:t xml:space="preserve">（各市人民政府，各相关部门）</w:t>
      </w:r>
      <w:r>
        <w:rPr>
          <w:rFonts w:ascii="楷体" w:hAnsi="楷体" w:eastAsia="楷体" w:cs="楷体"/>
          <w:sz w:val="32"/>
          <w:szCs w:val="32"/>
        </w:rPr>
      </w:r>
    </w:p>
    <w:p>
      <w:pPr>
        <w:pBdr/>
        <w:tabs>
          <w:tab w:val="left" w:leader="none" w:pos="720"/>
        </w:tabs>
        <w:spacing w:line="670" w:lineRule="exact"/>
        <w:ind w:firstLine="640"/>
        <w:contextualSpacing w:val="true"/>
        <w:rPr>
          <w:rFonts w:ascii="楷体" w:hAnsi="楷体" w:eastAsia="楷体" w:cs="楷体"/>
          <w:sz w:val="32"/>
          <w:szCs w:val="32"/>
        </w:rPr>
      </w:pPr>
      <w:r>
        <w:rPr>
          <w:rFonts w:hint="eastAsia" w:ascii="楷体" w:hAnsi="楷体" w:eastAsia="楷体" w:cs="楷体"/>
          <w:sz w:val="32"/>
          <w:szCs w:val="32"/>
        </w:rPr>
        <w:t xml:space="preserve">（二）总结阶段（</w:t>
      </w:r>
      <w:r>
        <w:rPr>
          <w:rFonts w:hint="eastAsia" w:ascii="楷体" w:hAnsi="楷体" w:eastAsia="楷体" w:cs="楷体"/>
          <w:sz w:val="32"/>
          <w:szCs w:val="32"/>
        </w:rPr>
        <w:t xml:space="preserve">12</w:t>
      </w:r>
      <w:r>
        <w:rPr>
          <w:rFonts w:hint="eastAsia" w:ascii="楷体" w:hAnsi="楷体" w:eastAsia="楷体" w:cs="楷体"/>
          <w:sz w:val="32"/>
          <w:szCs w:val="32"/>
        </w:rPr>
        <w:t xml:space="preserve">月到次年</w:t>
      </w:r>
      <w:r>
        <w:rPr>
          <w:rFonts w:hint="eastAsia" w:ascii="楷体" w:hAnsi="楷体" w:eastAsia="楷体" w:cs="楷体"/>
          <w:sz w:val="32"/>
          <w:szCs w:val="32"/>
        </w:rPr>
        <w:t xml:space="preserve">1</w:t>
      </w:r>
      <w:r>
        <w:rPr>
          <w:rFonts w:hint="eastAsia" w:ascii="楷体" w:hAnsi="楷体" w:eastAsia="楷体" w:cs="楷体"/>
          <w:sz w:val="32"/>
          <w:szCs w:val="32"/>
        </w:rPr>
        <w:t xml:space="preserve">月）</w:t>
      </w:r>
      <w:r>
        <w:rPr>
          <w:rFonts w:ascii="楷体" w:hAnsi="楷体" w:eastAsia="楷体" w:cs="楷体"/>
          <w:sz w:val="32"/>
          <w:szCs w:val="32"/>
        </w:rPr>
      </w:r>
    </w:p>
    <w:p>
      <w:pPr>
        <w:pBdr/>
        <w:tabs>
          <w:tab w:val="left" w:leader="none" w:pos="720"/>
        </w:tabs>
        <w:spacing w:line="670" w:lineRule="exact"/>
        <w:ind/>
        <w:contextualSpacing w:val="true"/>
        <w:rPr>
          <w:rFonts w:ascii="Times New Roman" w:hAnsi="Times New Roman" w:eastAsia="仿宋"/>
          <w:sz w:val="32"/>
          <w:szCs w:val="32"/>
        </w:rPr>
      </w:pPr>
      <w:r>
        <w:rPr>
          <w:rFonts w:hint="eastAsia" w:ascii="Times New Roman" w:hAnsi="Times New Roman" w:eastAsia="仿宋"/>
          <w:sz w:val="32"/>
          <w:szCs w:val="32"/>
        </w:rPr>
        <w:t xml:space="preserve">    2022</w:t>
      </w:r>
      <w:r>
        <w:rPr>
          <w:rFonts w:hint="eastAsia" w:ascii="Times New Roman" w:hAnsi="Times New Roman" w:eastAsia="仿宋"/>
          <w:sz w:val="32"/>
          <w:szCs w:val="32"/>
        </w:rPr>
        <w:t xml:space="preserve">年</w:t>
      </w:r>
      <w:r>
        <w:rPr>
          <w:rFonts w:hint="eastAsia" w:ascii="Times New Roman" w:hAnsi="Times New Roman" w:eastAsia="仿宋"/>
          <w:sz w:val="32"/>
          <w:szCs w:val="32"/>
        </w:rPr>
        <w:t xml:space="preserve">12</w:t>
      </w:r>
      <w:r>
        <w:rPr>
          <w:rFonts w:hint="eastAsia" w:ascii="Times New Roman" w:hAnsi="Times New Roman" w:eastAsia="仿宋"/>
          <w:sz w:val="32"/>
          <w:szCs w:val="32"/>
        </w:rPr>
        <w:t xml:space="preserve">月</w:t>
      </w:r>
      <w:r>
        <w:rPr>
          <w:rFonts w:hint="eastAsia" w:ascii="Times New Roman" w:hAnsi="Times New Roman" w:eastAsia="仿宋"/>
          <w:sz w:val="32"/>
          <w:szCs w:val="32"/>
        </w:rPr>
        <w:t xml:space="preserve">30</w:t>
      </w:r>
      <w:r>
        <w:rPr>
          <w:rFonts w:hint="eastAsia" w:ascii="Times New Roman" w:hAnsi="Times New Roman" w:eastAsia="仿宋"/>
          <w:sz w:val="32"/>
          <w:szCs w:val="32"/>
        </w:rPr>
        <w:t xml:space="preserve">日前，各市人民政府、省协调小组相关单</w:t>
      </w:r>
      <w:r>
        <w:rPr>
          <w:rFonts w:hint="eastAsia" w:ascii="Times New Roman" w:hAnsi="Times New Roman" w:eastAsia="仿宋"/>
          <w:sz w:val="32"/>
          <w:szCs w:val="32"/>
        </w:rPr>
        <w:t xml:space="preserve">位要将各自负责领域内依法关闭退出的企业、设备及产能情况反馈至省协调小组办公室。</w:t>
      </w:r>
      <w:r>
        <w:rPr>
          <w:rFonts w:ascii="Times New Roman" w:hAnsi="Times New Roman" w:eastAsia="仿宋"/>
          <w:sz w:val="32"/>
          <w:szCs w:val="32"/>
        </w:rPr>
      </w:r>
    </w:p>
    <w:p>
      <w:pPr>
        <w:pBdr/>
        <w:tabs>
          <w:tab w:val="left" w:leader="none" w:pos="720"/>
        </w:tabs>
        <w:spacing w:line="670" w:lineRule="exact"/>
        <w:ind w:firstLine="640"/>
        <w:contextualSpacing w:val="true"/>
        <w:rPr>
          <w:rFonts w:ascii="Times New Roman" w:hAnsi="Times New Roman" w:eastAsia="仿宋"/>
          <w:sz w:val="32"/>
          <w:szCs w:val="32"/>
        </w:rPr>
      </w:pPr>
      <w:r>
        <w:rPr>
          <w:rFonts w:hint="eastAsia" w:ascii="Times New Roman" w:hAnsi="Times New Roman" w:eastAsia="仿宋"/>
          <w:sz w:val="32"/>
          <w:szCs w:val="32"/>
        </w:rPr>
        <w:t xml:space="preserve">2023</w:t>
      </w:r>
      <w:r>
        <w:rPr>
          <w:rFonts w:hint="eastAsia" w:ascii="Times New Roman" w:hAnsi="Times New Roman" w:eastAsia="仿宋"/>
          <w:sz w:val="32"/>
          <w:szCs w:val="32"/>
        </w:rPr>
        <w:t xml:space="preserve">年</w:t>
      </w:r>
      <w:r>
        <w:rPr>
          <w:rFonts w:hint="eastAsia" w:ascii="Times New Roman" w:hAnsi="Times New Roman" w:eastAsia="仿宋"/>
          <w:sz w:val="32"/>
          <w:szCs w:val="32"/>
        </w:rPr>
        <w:t xml:space="preserve">1</w:t>
      </w:r>
      <w:r>
        <w:rPr>
          <w:rFonts w:hint="eastAsia" w:ascii="Times New Roman" w:hAnsi="Times New Roman" w:eastAsia="仿宋"/>
          <w:sz w:val="32"/>
          <w:szCs w:val="32"/>
        </w:rPr>
        <w:t xml:space="preserve">月</w:t>
      </w:r>
      <w:r>
        <w:rPr>
          <w:rFonts w:hint="eastAsia" w:ascii="Times New Roman" w:hAnsi="Times New Roman" w:eastAsia="仿宋"/>
          <w:sz w:val="32"/>
          <w:szCs w:val="32"/>
        </w:rPr>
        <w:t xml:space="preserve">10</w:t>
      </w:r>
      <w:r>
        <w:rPr>
          <w:rFonts w:hint="eastAsia" w:ascii="Times New Roman" w:hAnsi="Times New Roman" w:eastAsia="仿宋"/>
          <w:sz w:val="32"/>
          <w:szCs w:val="32"/>
        </w:rPr>
        <w:t xml:space="preserve">日前，各市人民政府、省协调小组成员单位要将</w:t>
      </w:r>
      <w:r>
        <w:rPr>
          <w:rFonts w:hint="eastAsia" w:ascii="Times New Roman" w:hAnsi="Times New Roman" w:eastAsia="仿宋"/>
          <w:sz w:val="32"/>
          <w:szCs w:val="32"/>
        </w:rPr>
        <w:t xml:space="preserve">2022</w:t>
      </w:r>
      <w:r>
        <w:rPr>
          <w:rFonts w:hint="eastAsia" w:ascii="Times New Roman" w:hAnsi="Times New Roman" w:eastAsia="仿宋"/>
          <w:sz w:val="32"/>
          <w:szCs w:val="32"/>
        </w:rPr>
        <w:t xml:space="preserve">年推动落后产能退出工作总结报送省协调小组办公室；省协调小组办公室于</w:t>
      </w:r>
      <w:r>
        <w:rPr>
          <w:rFonts w:hint="eastAsia" w:ascii="Times New Roman" w:hAnsi="Times New Roman" w:eastAsia="仿宋"/>
          <w:sz w:val="32"/>
          <w:szCs w:val="32"/>
        </w:rPr>
        <w:t xml:space="preserve">2023</w:t>
      </w:r>
      <w:r>
        <w:rPr>
          <w:rFonts w:hint="eastAsia" w:ascii="Times New Roman" w:hAnsi="Times New Roman" w:eastAsia="仿宋"/>
          <w:sz w:val="32"/>
          <w:szCs w:val="32"/>
        </w:rPr>
        <w:t xml:space="preserve">年</w:t>
      </w:r>
      <w:r>
        <w:rPr>
          <w:rFonts w:hint="eastAsia" w:ascii="Times New Roman" w:hAnsi="Times New Roman" w:eastAsia="仿宋"/>
          <w:sz w:val="32"/>
          <w:szCs w:val="32"/>
        </w:rPr>
        <w:t xml:space="preserve">1</w:t>
      </w:r>
      <w:r>
        <w:rPr>
          <w:rFonts w:hint="eastAsia" w:ascii="Times New Roman" w:hAnsi="Times New Roman" w:eastAsia="仿宋"/>
          <w:sz w:val="32"/>
          <w:szCs w:val="32"/>
        </w:rPr>
        <w:t xml:space="preserve">月底前将</w:t>
      </w:r>
      <w:r>
        <w:rPr>
          <w:rFonts w:hint="eastAsia" w:ascii="Times New Roman" w:hAnsi="Times New Roman" w:eastAsia="仿宋"/>
          <w:sz w:val="32"/>
          <w:szCs w:val="32"/>
        </w:rPr>
        <w:t xml:space="preserve">2022</w:t>
      </w:r>
      <w:r>
        <w:rPr>
          <w:rFonts w:hint="eastAsia" w:ascii="Times New Roman" w:hAnsi="Times New Roman" w:eastAsia="仿宋"/>
          <w:sz w:val="32"/>
          <w:szCs w:val="32"/>
        </w:rPr>
        <w:t xml:space="preserve">年全省落后产能退出情况汇总，报经</w:t>
      </w:r>
      <w:r>
        <w:rPr>
          <w:rFonts w:hint="eastAsia" w:ascii="Times New Roman" w:hAnsi="Times New Roman" w:eastAsia="仿宋"/>
          <w:sz w:val="32"/>
          <w:szCs w:val="32"/>
        </w:rPr>
        <w:t xml:space="preserve">省人民政府同意后上报工业和信息化部等部委。</w:t>
      </w:r>
      <w:r>
        <w:rPr>
          <w:rFonts w:ascii="Times New Roman" w:hAnsi="Times New Roman" w:eastAsia="仿宋"/>
          <w:sz w:val="32"/>
          <w:szCs w:val="32"/>
        </w:rPr>
      </w:r>
    </w:p>
    <w:p>
      <w:pPr>
        <w:pBdr/>
        <w:tabs>
          <w:tab w:val="left" w:leader="none" w:pos="720"/>
        </w:tabs>
        <w:spacing w:line="670" w:lineRule="exact"/>
        <w:ind w:firstLine="640"/>
        <w:contextualSpacing w:val="true"/>
        <w:rPr>
          <w:rFonts w:ascii="楷体" w:hAnsi="楷体" w:eastAsia="楷体" w:cs="楷体"/>
          <w:sz w:val="32"/>
          <w:szCs w:val="32"/>
        </w:rPr>
      </w:pPr>
      <w:r>
        <w:rPr>
          <w:rFonts w:hint="eastAsia" w:ascii="楷体" w:hAnsi="楷体" w:eastAsia="楷体" w:cs="楷体"/>
          <w:sz w:val="32"/>
          <w:szCs w:val="32"/>
        </w:rPr>
        <w:t xml:space="preserve">（各市人民政府，各相关部门）</w:t>
      </w:r>
      <w:r>
        <w:rPr>
          <w:rFonts w:ascii="楷体" w:hAnsi="楷体" w:eastAsia="楷体" w:cs="楷体"/>
          <w:sz w:val="32"/>
          <w:szCs w:val="32"/>
        </w:rPr>
      </w:r>
    </w:p>
    <w:p>
      <w:pPr>
        <w:widowControl w:val="true"/>
        <w:pBdr/>
        <w:spacing/>
        <w:ind/>
        <w:jc w:val="left"/>
        <w:rPr>
          <w:rFonts w:ascii="黑体" w:hAnsi="黑体" w:eastAsia="黑体" w:cs="黑体"/>
          <w:sz w:val="32"/>
          <w:szCs w:val="32"/>
        </w:rPr>
        <w:sectPr>
          <w:footerReference w:type="default" r:id="rId8"/>
          <w:footnotePr/>
          <w:endnotePr/>
          <w:type w:val="nextPage"/>
          <w:pgSz w:h="16838" w:orient="landscape" w:w="11906"/>
          <w:pgMar w:top="1985" w:right="1797" w:bottom="1701" w:left="1797" w:header="851" w:footer="992" w:gutter="0"/>
          <w:cols w:num="1" w:sep="0" w:space="425" w:equalWidth="1"/>
        </w:sectPr>
      </w:pPr>
      <w:r>
        <w:rPr>
          <w:rFonts w:ascii="楷体" w:hAnsi="楷体" w:eastAsia="楷体" w:cs="楷体"/>
          <w:sz w:val="32"/>
          <w:szCs w:val="32"/>
        </w:rPr>
        <w:br w:type="page" w:clear="all"/>
      </w:r>
      <w:r>
        <w:rPr>
          <w:rFonts w:ascii="黑体" w:hAnsi="黑体" w:eastAsia="黑体" w:cs="黑体"/>
          <w:sz w:val="32"/>
          <w:szCs w:val="32"/>
        </w:rPr>
      </w:r>
    </w:p>
    <w:p>
      <w:pPr>
        <w:pStyle w:val="705"/>
        <w:pBdr/>
        <w:spacing/>
        <w:ind/>
        <w:jc w:val="left"/>
        <w:rPr>
          <w:rFonts w:ascii="黑体" w:hAnsi="黑体" w:eastAsia="黑体" w:cs="黑体"/>
          <w:sz w:val="32"/>
          <w:szCs w:val="32"/>
        </w:rPr>
      </w:pPr>
      <w:r>
        <w:rPr>
          <w:rFonts w:hint="eastAsia" w:ascii="黑体" w:hAnsi="黑体" w:eastAsia="黑体" w:cs="黑体"/>
          <w:sz w:val="32"/>
          <w:szCs w:val="32"/>
        </w:rPr>
        <w:t xml:space="preserve">附件</w:t>
      </w:r>
      <w:r>
        <w:rPr>
          <w:rFonts w:hint="eastAsia" w:ascii="黑体" w:hAnsi="黑体" w:eastAsia="黑体" w:cs="黑体"/>
          <w:sz w:val="32"/>
          <w:szCs w:val="32"/>
        </w:rPr>
        <w:t xml:space="preserve">1</w:t>
      </w:r>
      <w:r>
        <w:rPr>
          <w:rFonts w:ascii="黑体" w:hAnsi="黑体" w:eastAsia="黑体" w:cs="黑体"/>
          <w:sz w:val="32"/>
          <w:szCs w:val="32"/>
        </w:rPr>
      </w:r>
    </w:p>
    <w:p>
      <w:pPr>
        <w:pStyle w:val="705"/>
        <w:pBdr/>
        <w:spacing w:line="240" w:lineRule="exact"/>
        <w:ind/>
        <w:rPr>
          <w:rFonts w:ascii="方正小标宋简体" w:eastAsia="方正小标宋简体" w:cs="方正大标宋简体"/>
          <w:bCs/>
          <w:sz w:val="44"/>
          <w:szCs w:val="44"/>
        </w:rPr>
      </w:pPr>
      <w:r>
        <w:rPr>
          <w:rFonts w:ascii="方正小标宋简体" w:eastAsia="方正小标宋简体" w:cs="方正大标宋简体"/>
          <w:bCs/>
          <w:sz w:val="44"/>
          <w:szCs w:val="44"/>
        </w:rPr>
      </w:r>
      <w:r>
        <w:rPr>
          <w:rFonts w:ascii="方正小标宋简体" w:eastAsia="方正小标宋简体" w:cs="方正大标宋简体"/>
          <w:bCs/>
          <w:sz w:val="44"/>
          <w:szCs w:val="44"/>
        </w:rPr>
      </w:r>
    </w:p>
    <w:p>
      <w:pPr>
        <w:pStyle w:val="705"/>
        <w:pBdr/>
        <w:spacing w:line="720" w:lineRule="exact"/>
        <w:ind/>
        <w:rPr>
          <w:rFonts w:ascii="方正小标宋简体" w:eastAsia="方正小标宋简体" w:cs="方正大标宋简体"/>
          <w:bCs/>
          <w:sz w:val="44"/>
          <w:szCs w:val="44"/>
        </w:rPr>
      </w:pPr>
      <w:r>
        <w:rPr>
          <w:rFonts w:hint="eastAsia" w:ascii="方正小标宋简体" w:eastAsia="方正小标宋简体" w:cs="方正大标宋简体"/>
          <w:bCs/>
          <w:sz w:val="44"/>
          <w:szCs w:val="44"/>
        </w:rPr>
        <w:t xml:space="preserve">辽宁省节能降碳重点领域能效低于标杆水平企业装置清单</w:t>
      </w:r>
      <w:r>
        <w:rPr>
          <w:rFonts w:ascii="方正小标宋简体" w:eastAsia="方正小标宋简体" w:cs="方正大标宋简体"/>
          <w:bCs/>
          <w:sz w:val="44"/>
          <w:szCs w:val="44"/>
        </w:rPr>
      </w:r>
    </w:p>
    <w:p>
      <w:pPr>
        <w:pBdr/>
        <w:spacing/>
        <w:ind/>
        <w:rPr/>
      </w:pPr>
      <w:r/>
      <w:r/>
    </w:p>
    <w:tbl>
      <w:tblPr>
        <w:tblW w:w="14169" w:type="dxa"/>
        <w:jc w:val="center"/>
        <w:tblBorders/>
        <w:tblLayout w:type="fixed"/>
        <w:tblCellMar>
          <w:left w:w="0" w:type="dxa"/>
          <w:right w:w="0" w:type="dxa"/>
        </w:tblCellMar>
        <w:tblLook w:val="04A0" w:firstRow="1" w:lastRow="0" w:firstColumn="1" w:lastColumn="0" w:noHBand="0" w:noVBand="1"/>
      </w:tblPr>
      <w:tblGrid>
        <w:gridCol w:w="509"/>
        <w:gridCol w:w="1338"/>
        <w:gridCol w:w="3022"/>
        <w:gridCol w:w="2250"/>
        <w:gridCol w:w="1242"/>
        <w:gridCol w:w="2015"/>
        <w:gridCol w:w="1779"/>
        <w:gridCol w:w="2014"/>
      </w:tblGrid>
      <w:tr>
        <w:trPr>
          <w:cantSplit/>
          <w:jc w:val="center"/>
          <w:trHeight w:val="567"/>
          <w:tblHeader/>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序号</w:t>
            </w:r>
            <w:r>
              <w:rPr>
                <w:rFonts w:ascii="Times New Roman" w:hAnsi="Times New Roman" w:eastAsia="黑体" w:cs="黑体"/>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所属重点领域</w:t>
            </w:r>
            <w:r>
              <w:rPr>
                <w:rFonts w:ascii="Times New Roman" w:hAnsi="Times New Roman" w:eastAsia="黑体" w:cs="黑体"/>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企业名称</w:t>
            </w:r>
            <w:r>
              <w:rPr>
                <w:rFonts w:ascii="Times New Roman" w:hAnsi="Times New Roman" w:eastAsia="黑体" w:cs="黑体"/>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所在地区</w:t>
            </w:r>
            <w:r>
              <w:rPr>
                <w:rFonts w:ascii="Times New Roman" w:hAnsi="Times New Roman" w:eastAsia="黑体" w:cs="黑体"/>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产能</w:t>
            </w:r>
            <w:r>
              <w:rPr>
                <w:rFonts w:ascii="Times New Roman" w:hAnsi="Times New Roman" w:eastAsia="黑体" w:cs="黑体"/>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当前能效水平</w:t>
            </w:r>
            <w:r>
              <w:rPr>
                <w:rFonts w:ascii="Times New Roman" w:hAnsi="Times New Roman" w:eastAsia="黑体" w:cs="黑体"/>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标杆水平</w:t>
            </w:r>
            <w:r>
              <w:rPr>
                <w:rFonts w:ascii="Times New Roman" w:hAnsi="Times New Roman" w:eastAsia="黑体" w:cs="黑体"/>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黑体" w:cs="黑体"/>
                <w:szCs w:val="21"/>
              </w:rPr>
            </w:pPr>
            <w:r>
              <w:rPr>
                <w:rFonts w:hint="eastAsia" w:ascii="Times New Roman" w:hAnsi="Times New Roman" w:eastAsia="黑体" w:cs="黑体"/>
                <w:szCs w:val="21"/>
              </w:rPr>
              <w:t xml:space="preserve">所属能效范围</w:t>
            </w:r>
            <w:r>
              <w:rPr>
                <w:rFonts w:ascii="Times New Roman" w:hAnsi="Times New Roman" w:eastAsia="黑体" w:cs="黑体"/>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中国石油天然气股份有限公司抚顺石化分公司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辽宁省抚顺市新抚区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9.54</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北方华锦化学工业股份有限公司炼化分公司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辽宁省盘锦市双台子区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8.35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盘锦浩业化工有限公司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辽宁省盘锦市盘山县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630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8.4</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辽宁宝来生物能源有限公司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辽宁省盘锦市盘山县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8.2</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辽河石化</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辽宁省盘锦市兴隆台区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550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8.2588</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盘锦北方沥青股份有限公司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辽宁省盘锦市兴隆台区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230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8.38</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盘锦北方沥青燃料有限公司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辽宁省盘锦市辽滨沿海经济技术开发区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8.62</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350</w:t>
            </w:r>
            <w:r>
              <w:rPr>
                <w:rStyle w:val="731"/>
                <w:rFonts w:hint="default" w:ascii="Times New Roman" w:hAnsi="Times New Roman"/>
                <w:szCs w:val="21"/>
              </w:rPr>
              <w:t xml:space="preserve">万吨</w:t>
            </w:r>
            <w:r>
              <w:rPr>
                <w:rStyle w:val="731"/>
                <w:rFonts w:hint="default" w:ascii="Times New Roman" w:hAnsi="Times New Roman"/>
                <w:szCs w:val="21"/>
              </w:rPr>
              <w:t xml:space="preserve">/</w:t>
            </w:r>
            <w:r>
              <w:rPr>
                <w:rStyle w:val="731"/>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炼油</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中国石油天然气股份有限公司锦西石化分公司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辽宁省葫芦岛市连山区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650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7.86</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千克标准油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吨·能量因数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煤制焦炭</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（捣固焦炉）</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鞍山盛盟煤气化有限公司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辽宁省鞍山市千山区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92</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136.6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煤制焦炭</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（顶装焦炉）</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本钢板材股份有限公司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辽宁省本溪市平山区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480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煤制焦炭</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（顶装焦炉）</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本溪北营钢铁（集团）股份有限公司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辽宁省本溪市平山区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371</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等于基准水平</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等于基准水平</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煤制焦炭</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（捣固焦炉）</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丹东万通城市燃气有限公司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辽宁省丹东市振兴区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137</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煤制焦炭</w:t>
            </w:r>
            <w:r>
              <w:rPr>
                <w:rFonts w:ascii="Times New Roman" w:hAnsi="Times New Roman" w:eastAsia="仿宋_GB2312" w:cs="仿宋_GB2312"/>
                <w:szCs w:val="21"/>
              </w:rPr>
            </w:r>
          </w:p>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（捣固焦炉）</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锦州丰安实业有限责任公司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辽宁省锦州市义县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144.5 </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煤制焦炭</w:t>
            </w:r>
            <w:r>
              <w:rPr>
                <w:rFonts w:ascii="Times New Roman" w:hAnsi="Times New Roman" w:eastAsia="仿宋_GB2312" w:cs="仿宋_GB2312"/>
                <w:szCs w:val="21"/>
              </w:rPr>
            </w:r>
          </w:p>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（顶装焦炉）</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营口嘉晨燃化有限公司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辽宁省营口市老边区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煤制焦炭</w:t>
            </w:r>
            <w:r>
              <w:rPr>
                <w:rFonts w:ascii="Times New Roman" w:hAnsi="Times New Roman" w:eastAsia="仿宋_GB2312" w:cs="仿宋_GB2312"/>
                <w:szCs w:val="21"/>
              </w:rPr>
            </w:r>
          </w:p>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（顶装焦炉）</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凌源钢铁集团有限责任公司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辽宁省朝阳市凌源市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66.82</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113.78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烧碱</w:t>
            </w:r>
            <w:r>
              <w:rPr>
                <w:rFonts w:ascii="Times New Roman" w:hAnsi="Times New Roman" w:eastAsia="仿宋_GB2312" w:cs="仿宋_GB2312"/>
                <w:szCs w:val="21"/>
              </w:rPr>
            </w:r>
          </w:p>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（离子膜法液碱≥</w:t>
            </w: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45%</w:t>
            </w:r>
            <w:r>
              <w:rPr>
                <w:rFonts w:hint="eastAsia" w:ascii="Times New Roman" w:hAnsi="Times New Roman" w:eastAsia="仿宋_GB2312" w:cs="仿宋_GB2312"/>
                <w:szCs w:val="21"/>
              </w:rPr>
              <w:t xml:space="preserve">）</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航锦锦西氯碱化工有限公司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辽宁省葫芦岛市连山区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27</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315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电石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本溪富比生电石有限公司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辽宁省本溪市本溪县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805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w:t>
            </w:r>
            <w:r>
              <w:rPr>
                <w:rFonts w:hint="eastAsia" w:ascii="Times New Roman" w:hAnsi="Times New Roman" w:eastAsia="仿宋_GB2312" w:cs="仿宋_GB2312"/>
                <w:szCs w:val="21"/>
              </w:rPr>
              <w:t xml:space="preserve">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电石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本溪满族自治县富比生电石有限公司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辽宁省本溪市本溪县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934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805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vMerge w:val="continue"/>
            <w:textDirection w:val="lrTb"/>
            <w:noWrap w:val="false"/>
          </w:tcPr>
          <w:p>
            <w:pPr>
              <w:widowControl w:val="true"/>
              <w:pBdr/>
              <w:spacing w:line="26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乙烯</w:t>
            </w:r>
            <w:r>
              <w:rPr>
                <w:rFonts w:ascii="Times New Roman" w:hAnsi="Times New Roman" w:eastAsia="仿宋_GB2312" w:cs="仿宋_GB2312"/>
                <w:szCs w:val="21"/>
              </w:rPr>
            </w:r>
          </w:p>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（石脑烃类）</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中国石油天然气股份有限公司抚顺石化分公司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辽宁省抚顺市新抚区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630.05</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6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590</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14</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872.72</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590</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乙烯</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（石脑烃类）</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辽阳石化分公司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辽宁省辽阳市宏伟区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757.29</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590</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乙烯</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（石脑烃类）</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北方华锦化学工业股份有限公司乙烯分公司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辽宁省盘锦市双台子区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45</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679</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590</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对二甲苯</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辽阳石化分公司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辽宁省辽阳市宏伟区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98.5</w:t>
            </w:r>
            <w:r>
              <w:rPr>
                <w:rStyle w:val="732"/>
                <w:rFonts w:hint="default" w:ascii="Times New Roman" w:hAnsi="Times New Roman"/>
                <w:szCs w:val="21"/>
              </w:rPr>
              <w:t xml:space="preserve">万吨</w:t>
            </w:r>
            <w:r>
              <w:rPr>
                <w:rStyle w:val="732"/>
                <w:rFonts w:hint="default" w:ascii="Times New Roman" w:hAnsi="Times New Roman"/>
                <w:szCs w:val="21"/>
              </w:rPr>
              <w:t xml:space="preserve">/</w:t>
            </w:r>
            <w:r>
              <w:rPr>
                <w:rStyle w:val="732"/>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547.83</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380</w:t>
            </w:r>
            <w:r>
              <w:rPr>
                <w:rFonts w:hint="eastAsia" w:ascii="Times New Roman" w:hAnsi="Times New Roman" w:eastAsia="仿宋_GB2312" w:cs="仿宋_GB2312"/>
                <w:szCs w:val="21"/>
              </w:rPr>
              <w:t xml:space="preserve">千克标油</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合成氨（粉煤）</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辽宁北方煤化工（集团）股份有限公司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辽宁省本溪市平山区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1360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88"/>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合成氨（粉煤）</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辽宁大洋农业科技有限公司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辽宁省锦州市北镇市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40000</w:t>
            </w:r>
            <w:r>
              <w:rPr>
                <w:rFonts w:hint="eastAsia" w:ascii="Times New Roman" w:hAnsi="Times New Roman" w:eastAsia="仿宋_GB2312" w:cs="仿宋_GB2312"/>
                <w:szCs w:val="21"/>
              </w:rPr>
              <w:t xml:space="preserve">吨液氨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1678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合成氨</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（天然气）</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锦西天然气化工有限责任公司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辽宁省葫芦岛市连山区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1069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鞍山冀东水泥有限责任公司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辽宁省鞍山市立山区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106.37</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海城市第一水泥有限公司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辽宁省鞍山市海城</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毛祁镇</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114.69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抚顺大伙房水泥</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辽宁省抚顺市东洲区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位于基准水平和标杆水平之间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辽宁交通水泥有限责任公司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辽宁省本溪市溪湖区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150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111.4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辽宁山水工源水泥有限公司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辽宁省本溪市溪湖区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117</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150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优于或等于标杆水平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丹东凤凰山水泥制造有限公司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辽宁省丹东市凤城市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150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102.48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锦州三鸽水泥制造有限公司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辽宁省锦州市凌海市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111.71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辽宁大鹰水泥集团有限公司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辽宁省阜新市阜蒙县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240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115.49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辽宁富山水泥有限公司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辽宁省辽阳市灯塔市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Style w:val="732"/>
                <w:rFonts w:hint="default" w:ascii="Times New Roman" w:hAnsi="Times New Roman"/>
                <w:szCs w:val="21"/>
              </w:rPr>
              <w:t xml:space="preserve">万吨</w:t>
            </w:r>
            <w:r>
              <w:rPr>
                <w:rStyle w:val="732"/>
                <w:rFonts w:hint="default" w:ascii="Times New Roman" w:hAnsi="Times New Roman"/>
                <w:szCs w:val="21"/>
              </w:rPr>
              <w:t xml:space="preserve">/</w:t>
            </w:r>
            <w:r>
              <w:rPr>
                <w:rStyle w:val="732"/>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119.09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辽宁银盛水泥集团有限公司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辽宁省辽阳市灯塔市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240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110.55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台泥（辽宁）水泥有限公司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辽宁省辽阳市灯塔市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Style w:val="732"/>
                <w:rFonts w:hint="default" w:ascii="Times New Roman" w:hAnsi="Times New Roman"/>
                <w:szCs w:val="21"/>
              </w:rPr>
              <w:t xml:space="preserve">万吨</w:t>
            </w:r>
            <w:r>
              <w:rPr>
                <w:rStyle w:val="732"/>
                <w:rFonts w:hint="default" w:ascii="Times New Roman" w:hAnsi="Times New Roman"/>
                <w:szCs w:val="21"/>
              </w:rPr>
              <w:t xml:space="preserve">/</w:t>
            </w:r>
            <w:r>
              <w:rPr>
                <w:rStyle w:val="732"/>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118.09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低于基准水平</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辽阳天瑞水泥有限公司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辽宁省辽阳市文圣区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240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109.55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位于基准水平和标杆水平之间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辽阳天瑞辽塔水泥有限公司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辽宁省辽阳市文圣区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Style w:val="732"/>
                <w:rFonts w:hint="default" w:ascii="Times New Roman" w:hAnsi="Times New Roman"/>
                <w:szCs w:val="21"/>
              </w:rPr>
              <w:t xml:space="preserve">万吨</w:t>
            </w:r>
            <w:r>
              <w:rPr>
                <w:rStyle w:val="732"/>
                <w:rFonts w:hint="default" w:ascii="Times New Roman" w:hAnsi="Times New Roman"/>
                <w:szCs w:val="21"/>
              </w:rPr>
              <w:t xml:space="preserve">/</w:t>
            </w:r>
            <w:r>
              <w:rPr>
                <w:rStyle w:val="732"/>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114.64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辽宁恒威水泥集团有限公司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辽宁省辽阳市文圣区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115.16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w:t>
            </w:r>
            <w:r>
              <w:rPr>
                <w:rFonts w:hint="eastAsia" w:ascii="Times New Roman" w:hAnsi="Times New Roman" w:eastAsia="仿宋_GB2312" w:cs="仿宋_GB2312"/>
                <w:szCs w:val="21"/>
              </w:rPr>
              <w:t xml:space="preserve">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辽阳冀东水泥有限公司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辽宁省辽阳市文圣区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114.99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辽阳千山水泥有限公司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辽宁省辽阳市文圣区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Style w:val="731"/>
                <w:rFonts w:hint="default" w:ascii="Times New Roman" w:hAnsi="Times New Roman"/>
                <w:szCs w:val="21"/>
              </w:rPr>
              <w:t xml:space="preserve">万吨</w:t>
            </w:r>
            <w:r>
              <w:rPr>
                <w:rStyle w:val="731"/>
                <w:rFonts w:hint="default" w:ascii="Times New Roman" w:hAnsi="Times New Roman"/>
                <w:szCs w:val="21"/>
              </w:rPr>
              <w:t xml:space="preserve">/</w:t>
            </w:r>
            <w:r>
              <w:rPr>
                <w:rStyle w:val="731"/>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104.35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亚泰集团铁岭水泥有限公司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辽宁省铁岭市铁岭县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116.30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114.50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112.6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铁岭大伙房水泥有限责任公司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辽宁省铁岭市铁岭县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150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107</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金刚水泥（铁岭）有限公司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辽宁省铁岭经济开发区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111.06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辽宁大鹰水泥制造有限公司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辽宁省铁岭市昌图县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105.63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朝阳山水东鑫水泥有限公司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辽宁省朝阳市朝阳县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108.87</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凌源市富源矿业有限责任公司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辽宁省朝阳市凌源市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111.3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喀左丛元号水泥有限责任公司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辽宁省朝阳市喀左县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150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104.25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喀左恒基水泥制造有限责任公司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辽宁省朝阳市喀左县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106.49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朝阳兰凌水泥有限公司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辽宁省朝阳市双塔区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2019</w:t>
            </w:r>
            <w:r>
              <w:rPr>
                <w:rFonts w:hint="eastAsia" w:ascii="Times New Roman" w:hAnsi="Times New Roman" w:eastAsia="仿宋_GB2312" w:cs="仿宋_GB2312"/>
                <w:szCs w:val="21"/>
              </w:rPr>
              <w:t xml:space="preserve">年企业核算数据）</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水泥熟料</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渤海水泥（葫芦岛）有限公司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辽宁省葫芦岛市连山区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107.47</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平板玻璃</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500</w:t>
            </w:r>
            <w:r>
              <w:rPr>
                <w:rFonts w:hint="eastAsia" w:ascii="Times New Roman" w:hAnsi="Times New Roman" w:eastAsia="仿宋_GB2312" w:cs="仿宋_GB2312"/>
                <w:szCs w:val="21"/>
              </w:rPr>
              <w:t xml:space="preserve">≤生产能力≤</w:t>
            </w:r>
            <w:r>
              <w:rPr>
                <w:rFonts w:hint="eastAsia" w:ascii="Times New Roman" w:hAnsi="Times New Roman" w:eastAsia="仿宋_GB2312" w:cs="仿宋_GB2312"/>
                <w:szCs w:val="21"/>
              </w:rPr>
              <w:t xml:space="preserve">800</w:t>
            </w:r>
            <w:r>
              <w:rPr>
                <w:rFonts w:hint="eastAsia" w:ascii="Times New Roman" w:hAnsi="Times New Roman" w:eastAsia="仿宋_GB2312" w:cs="仿宋_GB2312"/>
                <w:szCs w:val="21"/>
              </w:rPr>
              <w:t xml:space="preserve">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天）</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本溪玉晶玻璃有限公司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辽宁省本溪市本溪县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11.60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11.66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11.94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11.68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Cs w:val="21"/>
              </w:rPr>
            </w:pPr>
            <w:r>
              <w:rPr>
                <w:rFonts w:ascii="Times New Roman" w:hAnsi="Times New Roman" w:eastAsia="仿宋_GB2312" w:cs="仿宋_GB2312"/>
                <w:szCs w:val="21"/>
              </w:rPr>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平板玻璃</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（生产能力</w:t>
            </w:r>
            <w:r>
              <w:rPr>
                <w:rFonts w:hint="eastAsia" w:ascii="Times New Roman" w:hAnsi="Times New Roman" w:eastAsia="仿宋_GB2312" w:cs="仿宋_GB2312"/>
                <w:szCs w:val="21"/>
              </w:rPr>
              <w:t xml:space="preserve">&gt;800</w:t>
            </w:r>
            <w:r>
              <w:rPr>
                <w:rFonts w:hint="eastAsia" w:ascii="Times New Roman" w:hAnsi="Times New Roman" w:eastAsia="仿宋_GB2312" w:cs="仿宋_GB2312"/>
                <w:szCs w:val="21"/>
              </w:rPr>
              <w:t xml:space="preserve">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天）</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信义玻璃（营口）有限公司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辽宁省营口市鲅鱼圈区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11.60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平板玻璃</w:t>
            </w:r>
            <w:r>
              <w:rPr>
                <w:rFonts w:ascii="Times New Roman" w:hAnsi="Times New Roman" w:eastAsia="仿宋_GB2312" w:cs="仿宋_GB2312"/>
                <w:szCs w:val="21"/>
              </w:rPr>
            </w:r>
          </w:p>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（生产能力</w:t>
            </w:r>
            <w:r>
              <w:rPr>
                <w:rFonts w:hint="eastAsia" w:ascii="Times New Roman" w:hAnsi="Times New Roman" w:eastAsia="仿宋_GB2312" w:cs="仿宋_GB2312"/>
                <w:szCs w:val="21"/>
              </w:rPr>
              <w:t xml:space="preserve">&gt;800</w:t>
            </w:r>
            <w:r>
              <w:rPr>
                <w:rFonts w:hint="eastAsia" w:ascii="Times New Roman" w:hAnsi="Times New Roman" w:eastAsia="仿宋_GB2312" w:cs="仿宋_GB2312"/>
                <w:szCs w:val="21"/>
              </w:rPr>
              <w:t xml:space="preserve">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天）</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中玻（朝阳）新材料有限公司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辽宁省朝阳市凌源市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540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11.45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重量箱</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62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建筑陶瓷</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（吸水率≤</w:t>
            </w:r>
            <w:r>
              <w:rPr>
                <w:rFonts w:hint="eastAsia" w:ascii="Times New Roman" w:hAnsi="Times New Roman" w:eastAsia="仿宋_GB2312" w:cs="仿宋_GB2312"/>
                <w:szCs w:val="21"/>
              </w:rPr>
              <w:t xml:space="preserve">0.5%</w:t>
            </w:r>
            <w:r>
              <w:rPr>
                <w:rFonts w:hint="eastAsia" w:ascii="Times New Roman" w:hAnsi="Times New Roman" w:eastAsia="仿宋_GB2312" w:cs="仿宋_GB2312"/>
                <w:szCs w:val="21"/>
              </w:rPr>
              <w:t xml:space="preserve">）</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沈阳五洲陶瓷科技发展有限公司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辽宁省沈阳市法库县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1200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5.13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90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建筑陶瓷</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（吸水率≤</w:t>
            </w:r>
            <w:r>
              <w:rPr>
                <w:rFonts w:hint="eastAsia" w:ascii="Times New Roman" w:hAnsi="Times New Roman" w:eastAsia="仿宋_GB2312" w:cs="仿宋_GB2312"/>
                <w:szCs w:val="21"/>
              </w:rPr>
              <w:t xml:space="preserve">0.5%</w:t>
            </w:r>
            <w:r>
              <w:rPr>
                <w:rFonts w:hint="eastAsia" w:ascii="Times New Roman" w:hAnsi="Times New Roman" w:eastAsia="仿宋_GB2312" w:cs="仿宋_GB2312"/>
                <w:szCs w:val="21"/>
              </w:rPr>
              <w:t xml:space="preserve">）</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沈阳浩松陶瓷有限公司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辽宁省沈阳市法库县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4.66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90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建筑陶瓷</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（吸水率≤</w:t>
            </w:r>
            <w:r>
              <w:rPr>
                <w:rFonts w:hint="eastAsia" w:ascii="Times New Roman" w:hAnsi="Times New Roman" w:eastAsia="仿宋_GB2312" w:cs="仿宋_GB2312"/>
                <w:szCs w:val="21"/>
              </w:rPr>
              <w:t xml:space="preserve">0.5%</w:t>
            </w:r>
            <w:r>
              <w:rPr>
                <w:rFonts w:hint="eastAsia" w:ascii="Times New Roman" w:hAnsi="Times New Roman" w:eastAsia="仿宋_GB2312" w:cs="仿宋_GB2312"/>
                <w:szCs w:val="21"/>
              </w:rPr>
              <w:t xml:space="preserve">）</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辽宁金地阳陶瓷有限公司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辽宁省沈阳市法库县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90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建筑陶瓷</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（吸水率＞</w:t>
            </w:r>
            <w:r>
              <w:rPr>
                <w:rFonts w:hint="eastAsia" w:ascii="Times New Roman" w:hAnsi="Times New Roman" w:eastAsia="仿宋_GB2312" w:cs="仿宋_GB2312"/>
                <w:szCs w:val="21"/>
              </w:rPr>
              <w:t xml:space="preserve">10%</w:t>
            </w:r>
            <w:r>
              <w:rPr>
                <w:rFonts w:hint="eastAsia" w:ascii="Times New Roman" w:hAnsi="Times New Roman" w:eastAsia="仿宋_GB2312" w:cs="仿宋_GB2312"/>
                <w:szCs w:val="21"/>
              </w:rPr>
              <w:t xml:space="preserve">）</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沈阳万顺达陶瓷有限公司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辽宁省沈阳市法库县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3.89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建筑陶瓷</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（吸水率＞</w:t>
            </w:r>
            <w:r>
              <w:rPr>
                <w:rFonts w:hint="eastAsia" w:ascii="Times New Roman" w:hAnsi="Times New Roman" w:eastAsia="仿宋_GB2312" w:cs="仿宋_GB2312"/>
                <w:szCs w:val="21"/>
              </w:rPr>
              <w:t xml:space="preserve">10%</w:t>
            </w:r>
            <w:r>
              <w:rPr>
                <w:rFonts w:hint="eastAsia" w:ascii="Times New Roman" w:hAnsi="Times New Roman" w:eastAsia="仿宋_GB2312" w:cs="仿宋_GB2312"/>
                <w:szCs w:val="21"/>
              </w:rPr>
              <w:t xml:space="preserve">）</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沈阳王者陶瓷有限公司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辽宁省沈阳市法库县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建筑陶瓷</w:t>
            </w:r>
            <w:r>
              <w:rPr>
                <w:rFonts w:hint="eastAsia" w:ascii="Times New Roman" w:hAnsi="Times New Roman" w:eastAsia="仿宋_GB2312" w:cs="仿宋_GB2312"/>
                <w:szCs w:val="21"/>
              </w:rPr>
              <w:br/>
            </w:r>
            <w:r>
              <w:rPr>
                <w:rFonts w:hint="eastAsia" w:ascii="Times New Roman" w:hAnsi="Times New Roman" w:eastAsia="仿宋_GB2312" w:cs="仿宋_GB2312"/>
                <w:szCs w:val="21"/>
              </w:rPr>
              <w:t xml:space="preserve">（吸水率＞</w:t>
            </w:r>
            <w:r>
              <w:rPr>
                <w:rFonts w:hint="eastAsia" w:ascii="Times New Roman" w:hAnsi="Times New Roman" w:eastAsia="仿宋_GB2312" w:cs="仿宋_GB2312"/>
                <w:szCs w:val="21"/>
              </w:rPr>
              <w:t xml:space="preserve">10%</w:t>
            </w:r>
            <w:r>
              <w:rPr>
                <w:rFonts w:hint="eastAsia" w:ascii="Times New Roman" w:hAnsi="Times New Roman" w:eastAsia="仿宋_GB2312" w:cs="仿宋_GB2312"/>
                <w:szCs w:val="21"/>
              </w:rPr>
              <w:t xml:space="preserve">）</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沈阳新王者陶瓷有限公司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辽宁省沈阳市法库县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4.28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平方米</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卫生陶瓷</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沈阳科勒卫浴有限公司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辽宁省沈阳市法库县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30000</w:t>
            </w:r>
            <w:r>
              <w:rPr>
                <w:rFonts w:hint="eastAsia" w:ascii="Times New Roman" w:hAnsi="Times New Roman" w:eastAsia="仿宋_GB2312" w:cs="仿宋_GB2312"/>
                <w:szCs w:val="21"/>
              </w:rPr>
              <w:t xml:space="preserve">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389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鞍山宝得钢铁有限公司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辽宁省鞍山市经济开发区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363.14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后英集团海城钢铁有限公司大屯分公司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辽宁省鞍山市千山区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240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410.65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鞍钢股份有限公司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辽宁省鞍山市铁西区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1745.7</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397.91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抚顺新钢铁有限责任公司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辽宁省抚顺市望花区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315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402</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本溪北营钢铁（集团）股份有限公司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辽宁省本溪市平山区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693.15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386.4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本溪玉麒麟新材料有限公司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辽宁省本溪市本溪县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26</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412</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本溪参铁（集团）有限公司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辽宁省本溪市本溪县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423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本溪四野铸业有限责任公司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辽宁省本溪市本溪县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423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本溪华声铸造厂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辽宁省本溪市本溪县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415.6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本溪市聚鑫达机械制造有限公司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辽宁省本溪市南芬区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本溪新铁制造有限公司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辽宁省本溪市南芬区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424.91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锦州锦兴特钢有限公司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辽宁省锦州市太和区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415.97</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鞍钢鲅鱼圈钢铁分公司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辽宁省营口市鲅鱼圈区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650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362.58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营口钢铁有限公司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辽宁省营口市老边区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240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396.19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石钢京诚装备技术有限公司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辽宁省营口市辽宁（营口）沿海产业基地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408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凌源钢铁集团有限责任公司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辽宁省朝阳市凌源市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535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376.69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鞍钢集团朝阳钢铁有限公司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辽宁省朝阳市龙城区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203</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398.14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喀左宝顺铸件有限公司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辽宁省朝阳市喀左县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422.8</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抚顺罕王直接还原铁有限公司拉古分公司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辽宁省沈抚改革创新示范区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415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8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鞍山宝得钢铁有限公司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辽宁省鞍山市经济开发区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-25.1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海城市恒盛铸业有限公司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辽宁省鞍山市海城市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-11.22</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后英集团海城钢铁有限公司大屯分公司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辽宁省鞍山市千山区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260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-13.06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鞍钢股份有限公司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辽宁省鞍山市铁西区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1792</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-21.41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抚顺新钢铁有限责任公司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辽宁省抚顺市望花区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本钢板材股份有限公司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辽宁省本溪市平山区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1018.79</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-21.22</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本溪北营钢铁（集团）股份有限公司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辽宁省本溪市平山区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701.03</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锦州锦兴特钢有限公司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辽宁省锦州市太和区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-11.19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89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日钢营口中板有限公司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辽宁省营口市老边区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420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-18.93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鞍钢鲅鱼圈钢铁分公司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辽宁省营口市鲅鱼圈区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650</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-16.94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91</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营口钢铁有限公司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辽宁省营口市老边区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280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-21.62</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567"/>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92</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石钢京诚装备技术有限公司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辽宁省营口市辽宁（营口）沿海产业基地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115</w:t>
            </w:r>
            <w:r>
              <w:rPr>
                <w:rStyle w:val="730"/>
                <w:rFonts w:hint="default" w:ascii="Times New Roman" w:hAnsi="Times New Roman"/>
                <w:szCs w:val="21"/>
              </w:rPr>
              <w:t xml:space="preserve">万吨</w:t>
            </w:r>
            <w:r>
              <w:rPr>
                <w:rStyle w:val="730"/>
                <w:rFonts w:hint="default" w:ascii="Times New Roman" w:hAnsi="Times New Roman"/>
                <w:szCs w:val="21"/>
              </w:rPr>
              <w:t xml:space="preserve">/</w:t>
            </w:r>
            <w:r>
              <w:rPr>
                <w:rStyle w:val="730"/>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93</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凌源钢铁集团有限责任公司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辽宁省朝阳市凌源市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600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-16.34</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94</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鞍钢集团朝阳钢铁有限公司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辽宁省朝阳市龙城区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209</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-13.25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95</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转炉工序</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喀左宝顺铸件有限公司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辽宁省朝阳市喀左县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-13.43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96</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电弧炉冶炼</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辽阳鑫亿特钢有限公司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辽宁省辽阳市辽阳县</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50</w:t>
            </w:r>
            <w:r>
              <w:rPr>
                <w:rFonts w:hint="eastAsia" w:ascii="Times New Roman" w:hAnsi="Times New Roman" w:eastAsia="仿宋_GB2312" w:cs="仿宋_GB2312"/>
                <w:szCs w:val="21"/>
              </w:rPr>
              <w:t xml:space="preserve">万吨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63</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61</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位于基准水平和标杆水平之间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97</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高碳铬铁</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辽阳铁合金有限责任公司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辽宁省辽阳市太子河区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18881</w:t>
            </w:r>
            <w:r>
              <w:rPr>
                <w:rStyle w:val="732"/>
                <w:rFonts w:hint="default" w:ascii="Times New Roman" w:hAnsi="Times New Roman"/>
                <w:szCs w:val="21"/>
              </w:rPr>
              <w:t xml:space="preserve">吨</w:t>
            </w:r>
            <w:r>
              <w:rPr>
                <w:rStyle w:val="732"/>
                <w:rFonts w:hint="default" w:ascii="Times New Roman" w:hAnsi="Times New Roman"/>
                <w:szCs w:val="21"/>
              </w:rPr>
              <w:t xml:space="preserve">/</w:t>
            </w:r>
            <w:r>
              <w:rPr>
                <w:rStyle w:val="732"/>
                <w:rFonts w:hint="default" w:ascii="Times New Roman" w:hAnsi="Times New Roman"/>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735</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710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98</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铅冶炼（粗铅工艺）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海城诚信有色金属有限公司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辽宁省鞍山市海城市</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6</w:t>
            </w:r>
            <w:r>
              <w:rPr>
                <w:rFonts w:hint="eastAsia" w:ascii="Times New Roman" w:hAnsi="Times New Roman" w:eastAsia="仿宋_GB2312" w:cs="仿宋_GB2312"/>
                <w:szCs w:val="21"/>
              </w:rPr>
              <w:t xml:space="preserve">万吨粗铅</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246</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230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99</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锌冶炼（火法炼锌工艺：精矿</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精馏锌）</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葫芦岛锌业股份有限公司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辽宁省葫芦岛市龙港区</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20</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1824.59</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1800</w:t>
            </w:r>
            <w:r>
              <w:rPr>
                <w:rFonts w:hint="eastAsia" w:ascii="Times New Roman" w:hAnsi="Times New Roman" w:eastAsia="仿宋_GB2312" w:cs="仿宋_GB2312"/>
                <w:szCs w:val="21"/>
              </w:rPr>
              <w:t xml:space="preserve">千克标准煤</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r>
        <w:trPr>
          <w:cantSplit/>
          <w:jc w:val="center"/>
          <w:trHeight w:val="454"/>
        </w:trPr>
        <w:tc>
          <w:tcPr>
            <w:shd w:val="clear" w:color="auto" w:fill="auto"/>
            <w:tcBorders>
              <w:top w:val="single" w:color="000000" w:sz="4" w:space="0"/>
              <w:left w:val="single" w:color="000000" w:sz="4" w:space="0"/>
              <w:bottom w:val="single" w:color="000000" w:sz="4" w:space="0"/>
              <w:right w:val="single" w:color="000000" w:sz="4" w:space="0"/>
            </w:tcBorders>
            <w:tcW w:w="50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100</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338"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电解铝</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2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营口忠旺铝材料有限公司</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250"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辽宁省营口市辽宁（营口）沿海产业基地</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75.25</w:t>
            </w:r>
            <w:r>
              <w:rPr>
                <w:rFonts w:hint="eastAsia" w:ascii="Times New Roman" w:hAnsi="Times New Roman" w:eastAsia="仿宋_GB2312" w:cs="仿宋_GB2312"/>
                <w:szCs w:val="21"/>
              </w:rPr>
              <w:t xml:space="preserve">万吨</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年</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5"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13115</w:t>
            </w:r>
            <w:r>
              <w:rPr>
                <w:rFonts w:hint="eastAsia" w:ascii="Times New Roman" w:hAnsi="Times New Roman" w:eastAsia="仿宋_GB2312" w:cs="仿宋_GB2312"/>
                <w:szCs w:val="21"/>
              </w:rPr>
              <w:t xml:space="preserve">千瓦时</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1779"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13000</w:t>
            </w:r>
            <w:r>
              <w:rPr>
                <w:rFonts w:hint="eastAsia" w:ascii="Times New Roman" w:hAnsi="Times New Roman" w:eastAsia="仿宋_GB2312" w:cs="仿宋_GB2312"/>
                <w:szCs w:val="21"/>
              </w:rPr>
              <w:t xml:space="preserve">千瓦时</w:t>
            </w:r>
            <w:r>
              <w:rPr>
                <w:rFonts w:hint="eastAsia" w:ascii="Times New Roman" w:hAnsi="Times New Roman" w:eastAsia="仿宋_GB2312" w:cs="仿宋_GB2312"/>
                <w:szCs w:val="21"/>
              </w:rPr>
              <w:t xml:space="preserve">/</w:t>
            </w:r>
            <w:r>
              <w:rPr>
                <w:rFonts w:hint="eastAsia" w:ascii="Times New Roman" w:hAnsi="Times New Roman" w:eastAsia="仿宋_GB2312" w:cs="仿宋_GB2312"/>
                <w:szCs w:val="21"/>
              </w:rPr>
              <w:t xml:space="preserve">吨</w:t>
            </w:r>
            <w:r>
              <w:rPr>
                <w:rFonts w:ascii="Times New Roman" w:hAnsi="Times New Roman" w:eastAsia="仿宋_GB2312" w:cs="仿宋_GB2312"/>
                <w:szCs w:val="21"/>
              </w:rPr>
            </w:r>
          </w:p>
        </w:tc>
        <w:tc>
          <w:tcPr>
            <w:shd w:val="clear" w:color="auto" w:fill="auto"/>
            <w:tcBorders>
              <w:top w:val="single" w:color="000000" w:sz="4" w:space="0"/>
              <w:left w:val="single" w:color="000000" w:sz="4" w:space="0"/>
              <w:bottom w:val="single" w:color="000000" w:sz="4" w:space="0"/>
              <w:right w:val="single" w:color="000000" w:sz="4" w:space="0"/>
            </w:tcBorders>
            <w:tcW w:w="2014" w:type="dxa"/>
            <w:vAlign w:val="center"/>
            <w:textDirection w:val="lrTb"/>
            <w:noWrap w:val="false"/>
          </w:tcPr>
          <w:p>
            <w:pPr>
              <w:widowControl w:val="true"/>
              <w:pBdr/>
              <w:spacing w:line="240" w:lineRule="exact"/>
              <w:ind/>
              <w:jc w:val="center"/>
              <w:rPr>
                <w:rFonts w:ascii="Times New Roman" w:hAnsi="Times New Roman" w:eastAsia="仿宋_GB2312" w:cs="仿宋_GB2312"/>
                <w:szCs w:val="21"/>
              </w:rPr>
            </w:pPr>
            <w:r>
              <w:rPr>
                <w:rFonts w:hint="eastAsia" w:ascii="Times New Roman" w:hAnsi="Times New Roman" w:eastAsia="仿宋_GB2312" w:cs="仿宋_GB2312"/>
                <w:szCs w:val="21"/>
              </w:rPr>
              <w:t xml:space="preserve">位于基准水平与标杆水平之间</w:t>
            </w:r>
            <w:r>
              <w:rPr>
                <w:rFonts w:ascii="Times New Roman" w:hAnsi="Times New Roman" w:eastAsia="仿宋_GB2312" w:cs="仿宋_GB2312"/>
                <w:szCs w:val="21"/>
              </w:rPr>
            </w:r>
          </w:p>
        </w:tc>
      </w:tr>
    </w:tbl>
    <w:p>
      <w:pPr>
        <w:pBdr/>
        <w:spacing/>
        <w:ind/>
        <w:rPr>
          <w:rFonts w:ascii="Times New Roman" w:hAnsi="Times New Roman"/>
        </w:rPr>
        <w:sectPr>
          <w:footnotePr/>
          <w:endnotePr/>
          <w:type w:val="nextPage"/>
          <w:pgSz w:h="11906" w:orient="portrait" w:w="16838"/>
          <w:pgMar w:top="1797" w:right="1985" w:bottom="1797" w:left="1701" w:header="851" w:footer="992" w:gutter="0"/>
          <w:cols w:num="1" w:sep="0" w:space="425" w:equalWidth="1"/>
        </w:sectPr>
      </w:pPr>
      <w:r>
        <w:rPr>
          <w:rFonts w:ascii="Times New Roman" w:hAnsi="Times New Roman"/>
        </w:rPr>
      </w:r>
      <w:r>
        <w:rPr>
          <w:rFonts w:ascii="Times New Roman" w:hAnsi="Times New Roman"/>
        </w:rPr>
      </w:r>
    </w:p>
    <w:p>
      <w:pPr>
        <w:pStyle w:val="706"/>
        <w:pBdr/>
        <w:spacing/>
        <w:ind w:firstLine="0"/>
        <w:jc w:val="left"/>
        <w:rPr>
          <w:rFonts w:ascii="黑体" w:hAnsi="黑体" w:eastAsia="黑体" w:cs="黑体"/>
          <w:sz w:val="32"/>
          <w:szCs w:val="32"/>
        </w:rPr>
      </w:pPr>
      <w:r>
        <w:rPr>
          <w:rFonts w:hint="eastAsia" w:ascii="黑体" w:hAnsi="黑体" w:eastAsia="黑体" w:cs="黑体"/>
          <w:sz w:val="32"/>
          <w:szCs w:val="32"/>
        </w:rPr>
        <w:t xml:space="preserve">附件</w:t>
      </w:r>
      <w:r>
        <w:rPr>
          <w:rFonts w:hint="eastAsia" w:ascii="黑体" w:hAnsi="黑体" w:eastAsia="黑体" w:cs="黑体"/>
          <w:sz w:val="32"/>
          <w:szCs w:val="32"/>
        </w:rPr>
        <w:t xml:space="preserve">2</w:t>
      </w:r>
      <w:r>
        <w:rPr>
          <w:rFonts w:ascii="黑体" w:hAnsi="黑体" w:eastAsia="黑体" w:cs="黑体"/>
          <w:sz w:val="32"/>
          <w:szCs w:val="32"/>
        </w:rPr>
      </w:r>
    </w:p>
    <w:p>
      <w:pPr>
        <w:pStyle w:val="706"/>
        <w:pBdr/>
        <w:spacing/>
        <w:ind w:firstLine="0"/>
        <w:jc w:val="center"/>
        <w:rPr>
          <w:rFonts w:ascii="方正小标宋简体" w:hAnsi="Times New Roman" w:eastAsia="方正小标宋简体"/>
        </w:rPr>
      </w:pPr>
      <w:r>
        <w:rPr>
          <w:rFonts w:hint="eastAsia" w:ascii="方正小标宋简体" w:hAnsi="Times New Roman" w:eastAsia="方正小标宋简体" w:cs="方正大标宋简体"/>
          <w:bCs/>
          <w:sz w:val="44"/>
          <w:szCs w:val="44"/>
        </w:rPr>
        <w:t xml:space="preserve">工业产品生产许可证获证企业监督检查问题企业名单</w:t>
      </w:r>
      <w:r>
        <w:rPr>
          <w:rFonts w:ascii="方正小标宋简体" w:hAnsi="Times New Roman" w:eastAsia="方正小标宋简体"/>
        </w:rPr>
      </w:r>
    </w:p>
    <w:p>
      <w:pPr>
        <w:pBdr/>
        <w:spacing/>
        <w:ind/>
        <w:rPr>
          <w:rFonts w:ascii="Times New Roman" w:hAnsi="Times New Roman"/>
        </w:rPr>
      </w:pPr>
      <w:r>
        <w:rPr>
          <w:rFonts w:ascii="Times New Roman" w:hAnsi="Times New Roman"/>
        </w:rPr>
      </w:r>
      <w:r>
        <w:rPr>
          <w:rFonts w:ascii="Times New Roman" w:hAnsi="Times New Roman"/>
        </w:rPr>
      </w:r>
    </w:p>
    <w:tbl>
      <w:tblPr>
        <w:tblW w:w="14564" w:type="dxa"/>
        <w:jc w:val="center"/>
        <w:tblBorders/>
        <w:tblLayout w:type="fixed"/>
        <w:tblCellMar>
          <w:left w:w="15" w:type="dxa"/>
          <w:top w:w="15" w:type="dxa"/>
          <w:right w:w="15" w:type="dxa"/>
          <w:bottom w:w="15" w:type="dxa"/>
        </w:tblCellMar>
        <w:tblLook w:val="04A0" w:firstRow="1" w:lastRow="0" w:firstColumn="1" w:lastColumn="0" w:noHBand="0" w:noVBand="1"/>
      </w:tblPr>
      <w:tblGrid>
        <w:gridCol w:w="750"/>
        <w:gridCol w:w="1486"/>
        <w:gridCol w:w="2059"/>
        <w:gridCol w:w="1115"/>
        <w:gridCol w:w="4027"/>
        <w:gridCol w:w="3023"/>
        <w:gridCol w:w="1285"/>
        <w:gridCol w:w="819"/>
      </w:tblGrid>
      <w:tr>
        <w:trPr>
          <w:jc w:val="center"/>
          <w:trHeight w:val="690"/>
          <w:tblHeader/>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序号</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企业名称</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许可证号</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产品名称</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获证产品明细</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检查存在问题</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检查单位</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地区</w:t>
            </w:r>
            <w:r>
              <w:rPr>
                <w:rFonts w:ascii="Times New Roman" w:hAnsi="Times New Roman" w:eastAsia="黑体" w:cs="黑体"/>
                <w:sz w:val="24"/>
              </w:rPr>
            </w:r>
          </w:p>
        </w:tc>
      </w:tr>
      <w:tr>
        <w:trPr>
          <w:jc w:val="center"/>
          <w:trHeight w:val="900"/>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鞍山钢都微粉有限公司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XK08-001-02248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产品：通用水泥</w:t>
            </w:r>
            <w:r>
              <w:rPr>
                <w:rFonts w:hint="eastAsia" w:ascii="Times New Roman" w:hAnsi="Times New Roman" w:eastAsia="仿宋_GB2312" w:cs="仿宋_GB2312"/>
                <w:sz w:val="24"/>
                <w:szCs w:val="24"/>
              </w:rPr>
              <w:t xml:space="preserve">42.5</w:t>
            </w:r>
            <w:r>
              <w:rPr>
                <w:rFonts w:hint="eastAsia" w:ascii="Times New Roman" w:hAnsi="Times New Roman" w:eastAsia="仿宋_GB2312" w:cs="仿宋_GB2312"/>
                <w:sz w:val="24"/>
                <w:szCs w:val="24"/>
              </w:rPr>
              <w:t xml:space="preserve">；生产类型：粉磨站；生产线：</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条粉磨生产线；关键设备：Φ</w:t>
            </w:r>
            <w:r>
              <w:rPr>
                <w:rFonts w:hint="eastAsia" w:ascii="Times New Roman" w:hAnsi="Times New Roman" w:eastAsia="仿宋_GB2312" w:cs="仿宋_GB2312"/>
                <w:sz w:val="24"/>
                <w:szCs w:val="24"/>
              </w:rPr>
              <w:t xml:space="preserve">3.2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六月份部分出厂强度检验原始记录未标库号；</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分析原始记录格式未更新；</w:t>
            </w:r>
            <w:r>
              <w:rPr>
                <w:rFonts w:hint="eastAsia" w:ascii="Times New Roman" w:hAnsi="Times New Roman" w:eastAsia="仿宋_GB2312" w:cs="仿宋_GB2312"/>
                <w:sz w:val="24"/>
                <w:szCs w:val="24"/>
              </w:rPr>
              <w:t xml:space="preserve">3.</w:t>
            </w:r>
            <w:r>
              <w:rPr>
                <w:rFonts w:hint="eastAsia" w:ascii="Times New Roman" w:hAnsi="Times New Roman" w:eastAsia="仿宋_GB2312" w:cs="仿宋_GB2312"/>
                <w:sz w:val="24"/>
                <w:szCs w:val="24"/>
              </w:rPr>
              <w:t xml:space="preserve">标准溶液未进行双人四平行。</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鞍山市</w:t>
            </w:r>
            <w:r>
              <w:rPr>
                <w:rFonts w:ascii="Times New Roman" w:hAnsi="Times New Roman" w:eastAsia="仿宋_GB2312" w:cs="仿宋_GB2312"/>
                <w:sz w:val="24"/>
                <w:szCs w:val="24"/>
              </w:rPr>
              <w:t xml:space="preserve">市场监管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r>
      <w:tr>
        <w:trPr>
          <w:jc w:val="center"/>
          <w:trHeight w:val="2341"/>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丹东凤凰山水泥制造有限公司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XK08-001-03519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、通用水泥</w:t>
            </w:r>
            <w:r>
              <w:rPr>
                <w:rFonts w:hint="eastAsia" w:ascii="Times New Roman" w:hAnsi="Times New Roman" w:eastAsia="仿宋_GB2312" w:cs="仿宋_GB2312"/>
                <w:sz w:val="24"/>
                <w:szCs w:val="24"/>
              </w:rPr>
              <w:t xml:space="preserve">52.5R</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、硅酸盐水泥熟料；</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生产类型：水泥厂；</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A</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条熟料生产线；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w:t>
            </w:r>
            <w:r>
              <w:rPr>
                <w:rFonts w:hint="eastAsia" w:ascii="Times New Roman" w:hAnsi="Times New Roman" w:eastAsia="仿宋_GB2312" w:cs="仿宋_GB2312"/>
                <w:sz w:val="24"/>
                <w:szCs w:val="24"/>
              </w:rPr>
              <w:t xml:space="preserve">A</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4.8</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74m</w:t>
            </w:r>
            <w:r>
              <w:rPr>
                <w:rFonts w:hint="eastAsia" w:ascii="Times New Roman" w:hAnsi="Times New Roman" w:eastAsia="仿宋_GB2312" w:cs="仿宋_GB2312"/>
                <w:sz w:val="24"/>
                <w:szCs w:val="24"/>
              </w:rPr>
              <w:t xml:space="preserve">回转窑</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B</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条粉磨生产线；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w:t>
            </w:r>
            <w:r>
              <w:rPr>
                <w:rFonts w:hint="eastAsia" w:ascii="Times New Roman" w:hAnsi="Times New Roman" w:eastAsia="仿宋_GB2312" w:cs="仿宋_GB2312"/>
                <w:sz w:val="24"/>
                <w:szCs w:val="24"/>
              </w:rPr>
              <w:t xml:space="preserve">B</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4.2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hint="eastAsia" w:ascii="Times New Roman" w:hAnsi="Times New Roman" w:eastAsia="仿宋_GB2312" w:cs="仿宋_GB2312"/>
                <w:sz w:val="24"/>
                <w:szCs w:val="24"/>
              </w:rPr>
              <w:t xml:space="preserve">ZJTL</w:t>
            </w:r>
            <w:r>
              <w:rPr>
                <w:rFonts w:hint="eastAsia" w:ascii="Times New Roman" w:hAnsi="Times New Roman" w:eastAsia="仿宋_GB2312" w:cs="仿宋_GB2312"/>
                <w:sz w:val="24"/>
                <w:szCs w:val="24"/>
              </w:rPr>
              <w:t xml:space="preserve">水泥立磨</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执行标准</w:t>
            </w:r>
            <w:r>
              <w:rPr>
                <w:rFonts w:hint="eastAsia" w:ascii="Times New Roman" w:hAnsi="Times New Roman" w:eastAsia="仿宋_GB2312" w:cs="仿宋_GB2312"/>
                <w:sz w:val="24"/>
                <w:szCs w:val="24"/>
              </w:rPr>
              <w:t xml:space="preserve">GB/T17671-1999</w:t>
            </w:r>
            <w:r>
              <w:rPr>
                <w:rFonts w:hint="eastAsia" w:ascii="Times New Roman" w:hAnsi="Times New Roman" w:eastAsia="仿宋_GB2312" w:cs="仿宋_GB2312"/>
                <w:sz w:val="24"/>
                <w:szCs w:val="24"/>
              </w:rPr>
              <w:t xml:space="preserve">《水泥胶砂强度检验方法》未更新。</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电动抗折试验、全自动抗压试验机未提供自检自校记录。</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丹东市</w:t>
            </w:r>
            <w:r>
              <w:rPr>
                <w:rFonts w:ascii="Times New Roman" w:hAnsi="Times New Roman" w:eastAsia="仿宋_GB2312" w:cs="仿宋_GB2312"/>
                <w:sz w:val="24"/>
                <w:szCs w:val="24"/>
              </w:rPr>
              <w:t xml:space="preserve">市场监管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r>
      <w:tr>
        <w:trPr>
          <w:jc w:val="center"/>
          <w:trHeight w:val="1321"/>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丹东山水工源水泥有限公司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XK08-001-06122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产品：通用水泥</w:t>
            </w:r>
            <w:r>
              <w:rPr>
                <w:rFonts w:hint="eastAsia" w:ascii="Times New Roman" w:hAnsi="Times New Roman" w:eastAsia="仿宋_GB2312" w:cs="仿宋_GB2312"/>
                <w:sz w:val="24"/>
                <w:szCs w:val="24"/>
              </w:rPr>
              <w:t xml:space="preserve">52.5</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生产类型：粉磨站；</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条水泥粉磨生产线；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关键设备：φ</w:t>
            </w:r>
            <w:r>
              <w:rPr>
                <w:rFonts w:hint="eastAsia" w:ascii="Times New Roman" w:hAnsi="Times New Roman" w:eastAsia="仿宋_GB2312" w:cs="仿宋_GB2312"/>
                <w:sz w:val="24"/>
                <w:szCs w:val="24"/>
              </w:rPr>
              <w:t xml:space="preserve">4.2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对编号为</w:t>
            </w:r>
            <w:r>
              <w:rPr>
                <w:rFonts w:hint="eastAsia" w:ascii="Times New Roman" w:hAnsi="Times New Roman" w:eastAsia="仿宋_GB2312" w:cs="仿宋_GB2312"/>
                <w:sz w:val="24"/>
                <w:szCs w:val="24"/>
              </w:rPr>
              <w:t xml:space="preserve">RG2021050400</w:t>
            </w:r>
            <w:r>
              <w:rPr>
                <w:rFonts w:hint="eastAsia" w:ascii="Times New Roman" w:hAnsi="Times New Roman" w:eastAsia="仿宋_GB2312" w:cs="仿宋_GB2312"/>
                <w:sz w:val="24"/>
                <w:szCs w:val="24"/>
              </w:rPr>
              <w:t xml:space="preserve">干湿温度计校准证书的结果未进行确认</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丹东市</w:t>
            </w:r>
            <w:r>
              <w:rPr>
                <w:rFonts w:ascii="Times New Roman" w:hAnsi="Times New Roman" w:eastAsia="仿宋_GB2312" w:cs="仿宋_GB2312"/>
                <w:sz w:val="24"/>
                <w:szCs w:val="24"/>
              </w:rPr>
              <w:t xml:space="preserve">市场监管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r>
      <w:tr>
        <w:trPr>
          <w:jc w:val="center"/>
          <w:trHeight w:val="1200"/>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盘锦山水水泥有限公司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XK08-001-05101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产品：通用水泥</w:t>
            </w:r>
            <w:r>
              <w:rPr>
                <w:rFonts w:hint="eastAsia" w:ascii="Times New Roman" w:hAnsi="Times New Roman" w:eastAsia="仿宋_GB2312" w:cs="仿宋_GB2312"/>
                <w:sz w:val="24"/>
                <w:szCs w:val="24"/>
              </w:rPr>
              <w:t xml:space="preserve">52.5</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生产类型：粉磨站</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条水泥粉磨生产线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关键设备：Φ</w:t>
            </w:r>
            <w:r>
              <w:rPr>
                <w:rFonts w:hint="eastAsia" w:ascii="Times New Roman" w:hAnsi="Times New Roman" w:eastAsia="仿宋_GB2312" w:cs="仿宋_GB2312"/>
                <w:sz w:val="24"/>
                <w:szCs w:val="24"/>
              </w:rPr>
              <w:t xml:space="preserve">3.8</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12m</w:t>
            </w:r>
            <w:r>
              <w:rPr>
                <w:rFonts w:hint="eastAsia" w:ascii="Times New Roman" w:hAnsi="Times New Roman" w:eastAsia="仿宋_GB2312" w:cs="仿宋_GB2312"/>
                <w:sz w:val="24"/>
                <w:szCs w:val="24"/>
              </w:rPr>
              <w:t xml:space="preserve">水泥磨</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标准溶液配制标签未及时更新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盘锦市</w:t>
            </w:r>
            <w:r>
              <w:rPr>
                <w:rFonts w:ascii="Times New Roman" w:hAnsi="Times New Roman" w:eastAsia="仿宋_GB2312" w:cs="仿宋_GB2312"/>
                <w:sz w:val="24"/>
                <w:szCs w:val="24"/>
              </w:rPr>
              <w:t xml:space="preserve">市场监管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盘锦</w:t>
            </w:r>
            <w:r>
              <w:rPr>
                <w:rFonts w:ascii="Times New Roman" w:hAnsi="Times New Roman" w:eastAsia="仿宋_GB2312" w:cs="仿宋_GB2312"/>
                <w:sz w:val="24"/>
              </w:rPr>
            </w:r>
          </w:p>
        </w:tc>
      </w:tr>
      <w:tr>
        <w:trPr>
          <w:jc w:val="center"/>
          <w:trHeight w:val="960"/>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辽宁南票水泥有限责任公司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XK08-001-02735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产品：通用水泥</w:t>
            </w:r>
            <w:r>
              <w:rPr>
                <w:rFonts w:hint="eastAsia" w:ascii="Times New Roman" w:hAnsi="Times New Roman" w:eastAsia="仿宋_GB2312" w:cs="仿宋_GB2312"/>
                <w:sz w:val="24"/>
                <w:szCs w:val="24"/>
              </w:rPr>
              <w:t xml:space="preserve">42.5</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关键设备：Φ</w:t>
            </w:r>
            <w:r>
              <w:rPr>
                <w:rFonts w:hint="eastAsia" w:ascii="Times New Roman" w:hAnsi="Times New Roman" w:eastAsia="仿宋_GB2312" w:cs="仿宋_GB2312"/>
                <w:sz w:val="24"/>
                <w:szCs w:val="24"/>
              </w:rPr>
              <w:t xml:space="preserve">3.2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测量细度用天平检定超期</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葫芦岛市</w:t>
            </w:r>
            <w:r>
              <w:rPr>
                <w:rFonts w:ascii="Times New Roman" w:hAnsi="Times New Roman" w:eastAsia="仿宋_GB2312" w:cs="仿宋_GB2312"/>
                <w:sz w:val="24"/>
                <w:szCs w:val="24"/>
              </w:rPr>
              <w:t xml:space="preserve">市场监管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葫芦岛</w:t>
            </w:r>
            <w:r>
              <w:rPr>
                <w:rFonts w:ascii="Times New Roman" w:hAnsi="Times New Roman" w:eastAsia="仿宋_GB2312" w:cs="仿宋_GB2312"/>
                <w:sz w:val="24"/>
              </w:rPr>
            </w:r>
          </w:p>
        </w:tc>
      </w:tr>
      <w:tr>
        <w:trPr>
          <w:jc w:val="center"/>
          <w:trHeight w:val="990"/>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兴城市九龙水泥有限公司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XK08-001-06241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产品：通用水泥</w:t>
            </w:r>
            <w:r>
              <w:rPr>
                <w:rFonts w:hint="eastAsia" w:ascii="Times New Roman" w:hAnsi="Times New Roman" w:eastAsia="仿宋_GB2312" w:cs="仿宋_GB2312"/>
                <w:sz w:val="24"/>
                <w:szCs w:val="24"/>
              </w:rPr>
              <w:t xml:space="preserve">42.5</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关键设备：Φ</w:t>
            </w:r>
            <w:r>
              <w:rPr>
                <w:rFonts w:hint="eastAsia" w:ascii="Times New Roman" w:hAnsi="Times New Roman" w:eastAsia="仿宋_GB2312" w:cs="仿宋_GB2312"/>
                <w:sz w:val="24"/>
                <w:szCs w:val="24"/>
              </w:rPr>
              <w:t xml:space="preserve">3.5</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记录不规范，个别记录中有的复核人签字未签</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葫芦岛市</w:t>
            </w:r>
            <w:r>
              <w:rPr>
                <w:rFonts w:ascii="Times New Roman" w:hAnsi="Times New Roman" w:eastAsia="仿宋_GB2312" w:cs="仿宋_GB2312"/>
                <w:sz w:val="24"/>
                <w:szCs w:val="24"/>
              </w:rPr>
              <w:t xml:space="preserve">市场监管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葫芦岛</w:t>
            </w:r>
            <w:r>
              <w:rPr>
                <w:rFonts w:ascii="Times New Roman" w:hAnsi="Times New Roman" w:eastAsia="仿宋_GB2312" w:cs="仿宋_GB2312"/>
                <w:sz w:val="24"/>
              </w:rPr>
            </w:r>
          </w:p>
        </w:tc>
      </w:tr>
      <w:tr>
        <w:trPr>
          <w:jc w:val="center"/>
          <w:trHeight w:val="3241"/>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辽阳鑫亿特钢有限公司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XK05-001-00766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钢筋混凝土用热轧钢筋</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热轧钢筋用钢坯：</w:t>
            </w:r>
            <w:r>
              <w:rPr>
                <w:rFonts w:hint="eastAsia" w:ascii="Times New Roman" w:hAnsi="Times New Roman" w:eastAsia="仿宋_GB2312" w:cs="仿宋_GB2312"/>
                <w:sz w:val="24"/>
                <w:szCs w:val="24"/>
              </w:rPr>
              <w:t xml:space="preserve">HRB400</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HRB400E 150mm</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150mm-200mm</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20mm</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热轧带肋钢筋：</w:t>
            </w:r>
            <w:r>
              <w:rPr>
                <w:rFonts w:hint="eastAsia" w:ascii="Times New Roman" w:hAnsi="Times New Roman" w:eastAsia="仿宋_GB2312" w:cs="仿宋_GB2312"/>
                <w:sz w:val="24"/>
                <w:szCs w:val="24"/>
              </w:rPr>
              <w:t xml:space="preserve">HRB400</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HRB400E 12mm-25mm</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B</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炼钢：</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生产线名称：炼钢车间</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炼钢炉型及数量：</w:t>
            </w:r>
            <w:r>
              <w:rPr>
                <w:rFonts w:hint="eastAsia" w:ascii="Times New Roman" w:hAnsi="Times New Roman" w:eastAsia="仿宋_GB2312" w:cs="仿宋_GB2312"/>
                <w:sz w:val="24"/>
                <w:szCs w:val="24"/>
              </w:rPr>
              <w:t xml:space="preserve">70t</w:t>
            </w:r>
            <w:r>
              <w:rPr>
                <w:rFonts w:hint="eastAsia" w:ascii="Times New Roman" w:hAnsi="Times New Roman" w:eastAsia="仿宋_GB2312" w:cs="仿宋_GB2312"/>
                <w:sz w:val="24"/>
                <w:szCs w:val="24"/>
              </w:rPr>
              <w:t xml:space="preserve">电弧炉</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座，</w:t>
            </w:r>
            <w:r>
              <w:rPr>
                <w:rFonts w:hint="eastAsia" w:ascii="Times New Roman" w:hAnsi="Times New Roman" w:eastAsia="仿宋_GB2312" w:cs="仿宋_GB2312"/>
                <w:sz w:val="24"/>
                <w:szCs w:val="24"/>
              </w:rPr>
              <w:t xml:space="preserve">70t</w:t>
            </w:r>
            <w:r>
              <w:rPr>
                <w:rFonts w:hint="eastAsia" w:ascii="Times New Roman" w:hAnsi="Times New Roman" w:eastAsia="仿宋_GB2312" w:cs="仿宋_GB2312"/>
                <w:sz w:val="24"/>
                <w:szCs w:val="24"/>
              </w:rPr>
              <w:t xml:space="preserve">精炼炉</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座</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轧钢：</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生产线名称：轧钢棒材车间</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加热炉型：推钢式连续加热炉</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轧机生产线：φ</w:t>
            </w:r>
            <w:r>
              <w:rPr>
                <w:rFonts w:hint="eastAsia" w:ascii="Times New Roman" w:hAnsi="Times New Roman" w:eastAsia="仿宋_GB2312" w:cs="仿宋_GB2312"/>
                <w:sz w:val="24"/>
                <w:szCs w:val="24"/>
              </w:rPr>
              <w:t xml:space="preserve">550</w:t>
            </w:r>
            <w:r>
              <w:rPr>
                <w:rFonts w:hint="eastAsia" w:ascii="Times New Roman" w:hAnsi="Times New Roman" w:eastAsia="仿宋_GB2312" w:cs="仿宋_GB2312"/>
                <w:sz w:val="24"/>
                <w:szCs w:val="24"/>
              </w:rPr>
              <w:t xml:space="preserve">连续式棒材生产线</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w:t>
            </w:r>
            <w:r>
              <w:rPr>
                <w:rFonts w:hint="eastAsia" w:ascii="Times New Roman" w:hAnsi="Times New Roman" w:eastAsia="仿宋_GB2312" w:cs="仿宋_GB2312"/>
                <w:sz w:val="24"/>
                <w:szCs w:val="24"/>
              </w:rPr>
              <w:t xml:space="preserve">AB</w:t>
            </w:r>
            <w:r>
              <w:rPr>
                <w:rFonts w:hint="eastAsia" w:ascii="Times New Roman" w:hAnsi="Times New Roman" w:eastAsia="仿宋_GB2312" w:cs="仿宋_GB2312"/>
                <w:sz w:val="24"/>
                <w:szCs w:val="24"/>
              </w:rPr>
              <w:t xml:space="preserve">线）</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部分计量器具超过检验期未检验</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辽阳市</w:t>
            </w:r>
            <w:r>
              <w:rPr>
                <w:rFonts w:ascii="Times New Roman" w:hAnsi="Times New Roman" w:eastAsia="仿宋_GB2312" w:cs="仿宋_GB2312"/>
                <w:sz w:val="24"/>
                <w:szCs w:val="24"/>
              </w:rPr>
              <w:t xml:space="preserve">市场监管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辽阳</w:t>
            </w:r>
            <w:r>
              <w:rPr>
                <w:rFonts w:ascii="Times New Roman" w:hAnsi="Times New Roman" w:eastAsia="仿宋_GB2312" w:cs="仿宋_GB2312"/>
                <w:sz w:val="24"/>
              </w:rPr>
            </w:r>
          </w:p>
        </w:tc>
      </w:tr>
      <w:tr>
        <w:trPr>
          <w:jc w:val="center"/>
          <w:trHeight w:val="2176"/>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辽阳千山水泥有限责任公司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w:t>
            </w:r>
            <w:r>
              <w:rPr>
                <w:rFonts w:hint="eastAsia" w:ascii="Times New Roman" w:hAnsi="Times New Roman" w:eastAsia="仿宋_GB2312" w:cs="仿宋_GB2312"/>
                <w:sz w:val="24"/>
                <w:szCs w:val="24"/>
              </w:rPr>
              <w:t xml:space="preserve">XK08-001-06829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通用水泥</w:t>
            </w:r>
            <w:r>
              <w:rPr>
                <w:rFonts w:hint="eastAsia" w:ascii="Times New Roman" w:hAnsi="Times New Roman" w:eastAsia="仿宋_GB2312" w:cs="仿宋_GB2312"/>
                <w:sz w:val="24"/>
                <w:szCs w:val="24"/>
              </w:rPr>
              <w:t xml:space="preserve">52.5</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硅酸盐水泥熟料；</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生产类型：水泥厂；</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A</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条熟料生产线；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w:t>
            </w:r>
            <w:r>
              <w:rPr>
                <w:rFonts w:hint="eastAsia" w:ascii="Times New Roman" w:hAnsi="Times New Roman" w:eastAsia="仿宋_GB2312" w:cs="仿宋_GB2312"/>
                <w:sz w:val="24"/>
                <w:szCs w:val="24"/>
              </w:rPr>
              <w:t xml:space="preserve">A</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4.8</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74m</w:t>
            </w:r>
            <w:r>
              <w:rPr>
                <w:rFonts w:hint="eastAsia" w:ascii="Times New Roman" w:hAnsi="Times New Roman" w:eastAsia="仿宋_GB2312" w:cs="仿宋_GB2312"/>
                <w:sz w:val="24"/>
                <w:szCs w:val="24"/>
              </w:rPr>
              <w:t xml:space="preserve">回转窑</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B:2</w:t>
            </w:r>
            <w:r>
              <w:rPr>
                <w:rFonts w:hint="eastAsia" w:ascii="Times New Roman" w:hAnsi="Times New Roman" w:eastAsia="仿宋_GB2312" w:cs="仿宋_GB2312"/>
                <w:sz w:val="24"/>
                <w:szCs w:val="24"/>
              </w:rPr>
              <w:t xml:space="preserve">条粉磨生产线；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w:t>
            </w:r>
            <w:r>
              <w:rPr>
                <w:rFonts w:hint="eastAsia" w:ascii="Times New Roman" w:hAnsi="Times New Roman" w:eastAsia="仿宋_GB2312" w:cs="仿宋_GB2312"/>
                <w:sz w:val="24"/>
                <w:szCs w:val="24"/>
              </w:rPr>
              <w:t xml:space="preserve">B</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3.8</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台、φ</w:t>
            </w:r>
            <w:r>
              <w:rPr>
                <w:rFonts w:hint="eastAsia" w:ascii="Times New Roman" w:hAnsi="Times New Roman" w:eastAsia="仿宋_GB2312" w:cs="仿宋_GB2312"/>
                <w:sz w:val="24"/>
                <w:szCs w:val="24"/>
              </w:rPr>
              <w:t xml:space="preserve">4.2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检验设备：化验室在用跳桌、游标卡尺检定证书超期；</w:t>
            </w:r>
            <w:r>
              <w:rPr>
                <w:rFonts w:hint="eastAsia" w:ascii="Times New Roman" w:hAnsi="Times New Roman" w:eastAsia="仿宋_GB2312" w:cs="仿宋_GB2312"/>
                <w:sz w:val="24"/>
                <w:szCs w:val="24"/>
              </w:rPr>
              <w:br/>
              <w:t xml:space="preserve">2.</w:t>
            </w:r>
            <w:r>
              <w:rPr>
                <w:rFonts w:hint="eastAsia" w:ascii="Times New Roman" w:hAnsi="Times New Roman" w:eastAsia="仿宋_GB2312" w:cs="仿宋_GB2312"/>
                <w:sz w:val="24"/>
                <w:szCs w:val="24"/>
              </w:rPr>
              <w:t xml:space="preserve">出厂水泥报告单数据修约不符合标准要求；</w:t>
            </w:r>
            <w:r>
              <w:rPr>
                <w:rFonts w:hint="eastAsia" w:ascii="Times New Roman" w:hAnsi="Times New Roman" w:eastAsia="仿宋_GB2312" w:cs="仿宋_GB2312"/>
                <w:sz w:val="24"/>
                <w:szCs w:val="24"/>
              </w:rPr>
              <w:br/>
              <w:t xml:space="preserve">3.</w:t>
            </w:r>
            <w:r>
              <w:rPr>
                <w:rFonts w:hint="eastAsia" w:ascii="Times New Roman" w:hAnsi="Times New Roman" w:eastAsia="仿宋_GB2312" w:cs="仿宋_GB2312"/>
                <w:sz w:val="24"/>
                <w:szCs w:val="24"/>
              </w:rPr>
              <w:t xml:space="preserve">出厂水泥报告单缺少许可证编号。</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省</w:t>
            </w:r>
            <w:r>
              <w:rPr>
                <w:rFonts w:ascii="Times New Roman" w:hAnsi="Times New Roman" w:eastAsia="仿宋_GB2312" w:cs="仿宋_GB2312"/>
                <w:sz w:val="24"/>
                <w:szCs w:val="24"/>
              </w:rPr>
              <w:t xml:space="preserve">市场</w:t>
            </w:r>
            <w:r>
              <w:rPr>
                <w:rFonts w:ascii="Times New Roman" w:hAnsi="Times New Roman" w:eastAsia="仿宋_GB2312" w:cs="仿宋_GB2312"/>
                <w:sz w:val="24"/>
              </w:rPr>
            </w:r>
          </w:p>
          <w:p>
            <w:pPr>
              <w:widowControl w:val="true"/>
              <w:pBdr/>
              <w:spacing/>
              <w:ind/>
              <w:jc w:val="center"/>
              <w:rPr>
                <w:rFonts w:ascii="Times New Roman" w:hAnsi="Times New Roman" w:eastAsia="仿宋_GB2312" w:cs="仿宋_GB2312"/>
                <w:sz w:val="24"/>
              </w:rPr>
            </w:pPr>
            <w:r>
              <w:rPr>
                <w:rFonts w:ascii="Times New Roman" w:hAnsi="Times New Roman" w:eastAsia="仿宋_GB2312" w:cs="仿宋_GB2312"/>
                <w:sz w:val="24"/>
                <w:szCs w:val="24"/>
              </w:rPr>
              <w:t xml:space="preserve">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辽阳</w:t>
            </w:r>
            <w:r>
              <w:rPr>
                <w:rFonts w:ascii="Times New Roman" w:hAnsi="Times New Roman" w:eastAsia="仿宋_GB2312" w:cs="仿宋_GB2312"/>
                <w:sz w:val="24"/>
              </w:rPr>
            </w:r>
          </w:p>
        </w:tc>
      </w:tr>
      <w:tr>
        <w:trPr>
          <w:jc w:val="center"/>
          <w:trHeight w:val="1981"/>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辽宁恒威水泥集团有限公司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XK08-001-02247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line="300" w:lineRule="exact"/>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通用水泥</w:t>
            </w:r>
            <w:r>
              <w:rPr>
                <w:rFonts w:hint="eastAsia" w:ascii="Times New Roman" w:hAnsi="Times New Roman" w:eastAsia="仿宋_GB2312" w:cs="仿宋_GB2312"/>
                <w:sz w:val="24"/>
                <w:szCs w:val="24"/>
              </w:rPr>
              <w:t xml:space="preserve">52.5</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硅酸盐水泥熟料；</w:t>
            </w:r>
            <w:r>
              <w:rPr>
                <w:rFonts w:hint="eastAsia" w:ascii="Times New Roman" w:hAnsi="Times New Roman" w:eastAsia="仿宋_GB2312" w:cs="仿宋_GB2312"/>
                <w:sz w:val="24"/>
                <w:szCs w:val="24"/>
              </w:rPr>
              <w:t xml:space="preserve">3.</w:t>
            </w:r>
            <w:r>
              <w:rPr>
                <w:rFonts w:hint="eastAsia" w:ascii="Times New Roman" w:hAnsi="Times New Roman" w:eastAsia="仿宋_GB2312" w:cs="仿宋_GB2312"/>
                <w:sz w:val="24"/>
                <w:szCs w:val="24"/>
              </w:rPr>
              <w:t xml:space="preserve">特种水泥（低热微膨胀水泥）；生产类型：水泥厂；生产线</w:t>
            </w:r>
            <w:r>
              <w:rPr>
                <w:rFonts w:hint="eastAsia" w:ascii="Times New Roman" w:hAnsi="Times New Roman" w:eastAsia="仿宋_GB2312" w:cs="仿宋_GB2312"/>
                <w:sz w:val="24"/>
                <w:szCs w:val="24"/>
              </w:rPr>
              <w:t xml:space="preserve">A</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条熟料生产线；关键设备</w:t>
            </w:r>
            <w:r>
              <w:rPr>
                <w:rFonts w:hint="eastAsia" w:ascii="Times New Roman" w:hAnsi="Times New Roman" w:eastAsia="仿宋_GB2312" w:cs="仿宋_GB2312"/>
                <w:sz w:val="24"/>
                <w:szCs w:val="24"/>
              </w:rPr>
              <w:t xml:space="preserve">A</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3.6</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54m</w:t>
            </w:r>
            <w:r>
              <w:rPr>
                <w:rFonts w:hint="eastAsia" w:ascii="Times New Roman" w:hAnsi="Times New Roman" w:eastAsia="仿宋_GB2312" w:cs="仿宋_GB2312"/>
                <w:sz w:val="24"/>
                <w:szCs w:val="24"/>
              </w:rPr>
              <w:t xml:space="preserve">回转窑</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台；φ</w:t>
            </w:r>
            <w:r>
              <w:rPr>
                <w:rFonts w:hint="eastAsia" w:ascii="Times New Roman" w:hAnsi="Times New Roman" w:eastAsia="仿宋_GB2312" w:cs="仿宋_GB2312"/>
                <w:sz w:val="24"/>
                <w:szCs w:val="24"/>
              </w:rPr>
              <w:t xml:space="preserve">4.8</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72m</w:t>
            </w:r>
            <w:r>
              <w:rPr>
                <w:rFonts w:hint="eastAsia" w:ascii="Times New Roman" w:hAnsi="Times New Roman" w:eastAsia="仿宋_GB2312" w:cs="仿宋_GB2312"/>
                <w:sz w:val="24"/>
                <w:szCs w:val="24"/>
              </w:rPr>
              <w:t xml:space="preserve">回转窑</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台；生产线</w:t>
            </w:r>
            <w:r>
              <w:rPr>
                <w:rFonts w:hint="eastAsia" w:ascii="Times New Roman" w:hAnsi="Times New Roman" w:eastAsia="仿宋_GB2312" w:cs="仿宋_GB2312"/>
                <w:sz w:val="24"/>
                <w:szCs w:val="24"/>
              </w:rPr>
              <w:t xml:space="preserve">B</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4</w:t>
            </w:r>
            <w:r>
              <w:rPr>
                <w:rFonts w:hint="eastAsia" w:ascii="Times New Roman" w:hAnsi="Times New Roman" w:eastAsia="仿宋_GB2312" w:cs="仿宋_GB2312"/>
                <w:sz w:val="24"/>
                <w:szCs w:val="24"/>
              </w:rPr>
              <w:t xml:space="preserve">条粉磨生产线；关键设备</w:t>
            </w:r>
            <w:r>
              <w:rPr>
                <w:rFonts w:hint="eastAsia" w:ascii="Times New Roman" w:hAnsi="Times New Roman" w:eastAsia="仿宋_GB2312" w:cs="仿宋_GB2312"/>
                <w:sz w:val="24"/>
                <w:szCs w:val="24"/>
              </w:rPr>
              <w:t xml:space="preserve">B</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3.2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台；</w:t>
            </w:r>
            <w:r>
              <w:rPr>
                <w:rFonts w:hint="eastAsia" w:ascii="Times New Roman" w:hAnsi="Times New Roman" w:eastAsia="仿宋_GB2312" w:cs="仿宋_GB2312"/>
                <w:sz w:val="24"/>
                <w:szCs w:val="24"/>
              </w:rPr>
              <w:t xml:space="preserve">3.8</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line="300" w:lineRule="exact"/>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工艺流程图中缺少关键控制点标注；</w:t>
            </w:r>
            <w:r>
              <w:rPr>
                <w:rFonts w:hint="eastAsia" w:ascii="Times New Roman" w:hAnsi="Times New Roman" w:eastAsia="仿宋_GB2312" w:cs="仿宋_GB2312"/>
                <w:sz w:val="24"/>
                <w:szCs w:val="24"/>
              </w:rPr>
              <w:br/>
              <w:t xml:space="preserve">2.</w:t>
            </w:r>
            <w:r>
              <w:rPr>
                <w:rFonts w:hint="eastAsia" w:ascii="Times New Roman" w:hAnsi="Times New Roman" w:eastAsia="仿宋_GB2312" w:cs="仿宋_GB2312"/>
                <w:sz w:val="24"/>
                <w:szCs w:val="24"/>
              </w:rPr>
              <w:t xml:space="preserve">出厂报告单数据修约不符合标准要求。</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省</w:t>
            </w:r>
            <w:r>
              <w:rPr>
                <w:rFonts w:ascii="Times New Roman" w:hAnsi="Times New Roman" w:eastAsia="仿宋_GB2312" w:cs="仿宋_GB2312"/>
                <w:sz w:val="24"/>
                <w:szCs w:val="24"/>
              </w:rPr>
              <w:t xml:space="preserve">市场</w:t>
            </w:r>
            <w:r>
              <w:rPr>
                <w:rFonts w:ascii="Times New Roman" w:hAnsi="Times New Roman" w:eastAsia="仿宋_GB2312" w:cs="仿宋_GB2312"/>
                <w:sz w:val="24"/>
              </w:rPr>
            </w:r>
          </w:p>
          <w:p>
            <w:pPr>
              <w:widowControl w:val="true"/>
              <w:pBdr/>
              <w:spacing/>
              <w:ind/>
              <w:jc w:val="center"/>
              <w:rPr>
                <w:rFonts w:ascii="Times New Roman" w:hAnsi="Times New Roman" w:eastAsia="仿宋_GB2312" w:cs="仿宋_GB2312"/>
                <w:sz w:val="24"/>
              </w:rPr>
            </w:pPr>
            <w:r>
              <w:rPr>
                <w:rFonts w:ascii="Times New Roman" w:hAnsi="Times New Roman" w:eastAsia="仿宋_GB2312" w:cs="仿宋_GB2312"/>
                <w:sz w:val="24"/>
                <w:szCs w:val="24"/>
              </w:rPr>
              <w:t xml:space="preserve">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辽阳</w:t>
            </w:r>
            <w:r>
              <w:rPr>
                <w:rFonts w:ascii="Times New Roman" w:hAnsi="Times New Roman" w:eastAsia="仿宋_GB2312" w:cs="仿宋_GB2312"/>
                <w:sz w:val="24"/>
              </w:rPr>
            </w:r>
          </w:p>
        </w:tc>
      </w:tr>
      <w:tr>
        <w:trPr>
          <w:jc w:val="center"/>
          <w:trHeight w:val="1711"/>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鞍山冀东水泥有限责任公司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XK08-001-05019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line="300" w:lineRule="exact"/>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产品：通用水泥</w:t>
            </w:r>
            <w:r>
              <w:rPr>
                <w:rFonts w:hint="eastAsia" w:ascii="Times New Roman" w:hAnsi="Times New Roman" w:eastAsia="仿宋_GB2312" w:cs="仿宋_GB2312"/>
                <w:sz w:val="24"/>
                <w:szCs w:val="24"/>
              </w:rPr>
              <w:t xml:space="preserve">52.5</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A:1</w:t>
            </w:r>
            <w:r>
              <w:rPr>
                <w:rFonts w:hint="eastAsia" w:ascii="Times New Roman" w:hAnsi="Times New Roman" w:eastAsia="仿宋_GB2312" w:cs="仿宋_GB2312"/>
                <w:sz w:val="24"/>
                <w:szCs w:val="24"/>
              </w:rPr>
              <w:t xml:space="preserve">条熟料生产线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w:t>
            </w:r>
            <w:r>
              <w:rPr>
                <w:rFonts w:hint="eastAsia" w:ascii="Times New Roman" w:hAnsi="Times New Roman" w:eastAsia="仿宋_GB2312" w:cs="仿宋_GB2312"/>
                <w:sz w:val="24"/>
                <w:szCs w:val="24"/>
              </w:rPr>
              <w:t xml:space="preserve">A:</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4.7</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74m</w:t>
            </w:r>
            <w:r>
              <w:rPr>
                <w:rFonts w:hint="eastAsia" w:ascii="Times New Roman" w:hAnsi="Times New Roman" w:eastAsia="仿宋_GB2312" w:cs="仿宋_GB2312"/>
                <w:sz w:val="24"/>
                <w:szCs w:val="24"/>
              </w:rPr>
              <w:t xml:space="preserve">回转窑</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B:2</w:t>
            </w:r>
            <w:r>
              <w:rPr>
                <w:rFonts w:hint="eastAsia" w:ascii="Times New Roman" w:hAnsi="Times New Roman" w:eastAsia="仿宋_GB2312" w:cs="仿宋_GB2312"/>
                <w:sz w:val="24"/>
                <w:szCs w:val="24"/>
              </w:rPr>
              <w:t xml:space="preserve">条粉磨生产线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w:t>
            </w:r>
            <w:r>
              <w:rPr>
                <w:rFonts w:hint="eastAsia" w:ascii="Times New Roman" w:hAnsi="Times New Roman" w:eastAsia="仿宋_GB2312" w:cs="仿宋_GB2312"/>
                <w:sz w:val="24"/>
                <w:szCs w:val="24"/>
              </w:rPr>
              <w:t xml:space="preserve">B:</w:t>
            </w:r>
            <w:r>
              <w:rPr>
                <w:rFonts w:hint="eastAsia" w:ascii="Times New Roman" w:hAnsi="Times New Roman" w:eastAsia="仿宋_GB2312" w:cs="仿宋_GB2312"/>
                <w:sz w:val="24"/>
                <w:szCs w:val="24"/>
              </w:rPr>
              <w:t xml:space="preserve">Φ</w:t>
            </w:r>
            <w:r>
              <w:rPr>
                <w:rFonts w:hint="eastAsia" w:ascii="Times New Roman" w:hAnsi="Times New Roman" w:eastAsia="仿宋_GB2312" w:cs="仿宋_GB2312"/>
                <w:sz w:val="24"/>
                <w:szCs w:val="24"/>
              </w:rPr>
              <w:t xml:space="preserve">4.2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11m</w:t>
            </w:r>
            <w:r>
              <w:rPr>
                <w:rFonts w:hint="eastAsia" w:ascii="Times New Roman" w:hAnsi="Times New Roman" w:eastAsia="仿宋_GB2312" w:cs="仿宋_GB2312"/>
                <w:sz w:val="24"/>
                <w:szCs w:val="24"/>
              </w:rPr>
              <w:t xml:space="preserve">水泥磨</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台、Φ</w:t>
            </w:r>
            <w:r>
              <w:rPr>
                <w:rFonts w:hint="eastAsia" w:ascii="Times New Roman" w:hAnsi="Times New Roman" w:eastAsia="仿宋_GB2312" w:cs="仿宋_GB2312"/>
                <w:sz w:val="24"/>
                <w:szCs w:val="24"/>
              </w:rPr>
              <w:t xml:space="preserve">4.2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line="300" w:lineRule="exact"/>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熟料储库没有密闭；</w:t>
            </w:r>
            <w:r>
              <w:rPr>
                <w:rFonts w:hint="eastAsia" w:ascii="Times New Roman" w:hAnsi="Times New Roman" w:eastAsia="仿宋_GB2312" w:cs="仿宋_GB2312"/>
                <w:sz w:val="24"/>
                <w:szCs w:val="24"/>
              </w:rPr>
              <w:br/>
              <w:t xml:space="preserve">2.</w:t>
            </w:r>
            <w:r>
              <w:rPr>
                <w:rFonts w:hint="eastAsia" w:ascii="Times New Roman" w:hAnsi="Times New Roman" w:eastAsia="仿宋_GB2312" w:cs="仿宋_GB2312"/>
                <w:sz w:val="24"/>
                <w:szCs w:val="24"/>
              </w:rPr>
              <w:t xml:space="preserve">检验在用游标卡尺未检定；</w:t>
            </w:r>
            <w:r>
              <w:rPr>
                <w:rFonts w:hint="eastAsia" w:ascii="Times New Roman" w:hAnsi="Times New Roman" w:eastAsia="仿宋_GB2312" w:cs="仿宋_GB2312"/>
                <w:sz w:val="24"/>
                <w:szCs w:val="24"/>
              </w:rPr>
              <w:br/>
              <w:t xml:space="preserve">3.</w:t>
            </w:r>
            <w:r>
              <w:rPr>
                <w:rFonts w:hint="eastAsia" w:ascii="Times New Roman" w:hAnsi="Times New Roman" w:eastAsia="仿宋_GB2312" w:cs="仿宋_GB2312"/>
                <w:sz w:val="24"/>
                <w:szCs w:val="24"/>
              </w:rPr>
              <w:t xml:space="preserve">专用跳桌未单独固定；</w:t>
            </w:r>
            <w:r>
              <w:rPr>
                <w:rFonts w:hint="eastAsia" w:ascii="Times New Roman" w:hAnsi="Times New Roman" w:eastAsia="仿宋_GB2312" w:cs="仿宋_GB2312"/>
                <w:sz w:val="24"/>
                <w:szCs w:val="24"/>
              </w:rPr>
              <w:br/>
              <w:t xml:space="preserve">4.</w:t>
            </w:r>
            <w:r>
              <w:rPr>
                <w:rFonts w:hint="eastAsia" w:ascii="Times New Roman" w:hAnsi="Times New Roman" w:eastAsia="仿宋_GB2312" w:cs="仿宋_GB2312"/>
                <w:sz w:val="24"/>
                <w:szCs w:val="24"/>
              </w:rPr>
              <w:t xml:space="preserve">企业工艺文件中未对关键控制点进行标记；</w:t>
            </w:r>
            <w:r>
              <w:rPr>
                <w:rFonts w:hint="eastAsia" w:ascii="Times New Roman" w:hAnsi="Times New Roman" w:eastAsia="仿宋_GB2312" w:cs="仿宋_GB2312"/>
                <w:sz w:val="24"/>
                <w:szCs w:val="24"/>
              </w:rPr>
              <w:br/>
              <w:t xml:space="preserve">5.</w:t>
            </w:r>
            <w:r>
              <w:rPr>
                <w:rFonts w:hint="eastAsia" w:ascii="Times New Roman" w:hAnsi="Times New Roman" w:eastAsia="仿宋_GB2312" w:cs="仿宋_GB2312"/>
                <w:sz w:val="24"/>
                <w:szCs w:val="24"/>
              </w:rPr>
              <w:t xml:space="preserve">出厂水泥确认程序内容不完整。</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省</w:t>
            </w:r>
            <w:r>
              <w:rPr>
                <w:rFonts w:ascii="Times New Roman" w:hAnsi="Times New Roman" w:eastAsia="仿宋_GB2312" w:cs="仿宋_GB2312"/>
                <w:sz w:val="24"/>
                <w:szCs w:val="24"/>
              </w:rPr>
              <w:t xml:space="preserve">市场</w:t>
            </w:r>
            <w:r>
              <w:rPr>
                <w:rFonts w:ascii="Times New Roman" w:hAnsi="Times New Roman" w:eastAsia="仿宋_GB2312" w:cs="仿宋_GB2312"/>
                <w:sz w:val="24"/>
              </w:rPr>
            </w:r>
          </w:p>
          <w:p>
            <w:pPr>
              <w:widowControl w:val="true"/>
              <w:pBdr/>
              <w:spacing/>
              <w:ind/>
              <w:jc w:val="center"/>
              <w:rPr>
                <w:rFonts w:ascii="Times New Roman" w:hAnsi="Times New Roman" w:eastAsia="仿宋_GB2312" w:cs="仿宋_GB2312"/>
                <w:sz w:val="24"/>
              </w:rPr>
            </w:pPr>
            <w:r>
              <w:rPr>
                <w:rFonts w:ascii="Times New Roman" w:hAnsi="Times New Roman" w:eastAsia="仿宋_GB2312" w:cs="仿宋_GB2312"/>
                <w:sz w:val="24"/>
                <w:szCs w:val="24"/>
              </w:rPr>
              <w:t xml:space="preserve">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r>
      <w:tr>
        <w:trPr>
          <w:jc w:val="center"/>
          <w:trHeight w:val="2416"/>
        </w:trPr>
        <w:tc>
          <w:tcPr>
            <w:shd w:val="clear" w:color="auto" w:fill="auto"/>
            <w:tcBorders>
              <w:top w:val="single" w:color="000000" w:sz="4" w:space="0"/>
              <w:left w:val="single" w:color="000000" w:sz="4" w:space="0"/>
              <w:bottom w:val="single" w:color="000000" w:sz="4" w:space="0"/>
              <w:right w:val="single" w:color="000000" w:sz="4" w:space="0"/>
            </w:tcBorders>
            <w:tcW w:w="75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486"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后英集团海城市建筑材料有限公司</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205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XK08-001-03271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11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水泥</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4027"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产品：通用水泥</w:t>
            </w:r>
            <w:r>
              <w:rPr>
                <w:rFonts w:hint="eastAsia" w:ascii="Times New Roman" w:hAnsi="Times New Roman" w:eastAsia="仿宋_GB2312" w:cs="仿宋_GB2312"/>
                <w:sz w:val="24"/>
                <w:szCs w:val="24"/>
              </w:rPr>
              <w:t xml:space="preserve">52.5</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生产类型：粉磨站；</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生产线：</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条粉磨生产线；</w:t>
            </w:r>
            <w:r>
              <w:rPr>
                <w:rFonts w:hint="eastAsia" w:ascii="Times New Roman" w:hAnsi="Times New Roman" w:eastAsia="仿宋_GB2312" w:cs="仿宋_GB2312"/>
                <w:sz w:val="24"/>
                <w:szCs w:val="24"/>
              </w:rPr>
              <w:br/>
            </w:r>
            <w:r>
              <w:rPr>
                <w:rFonts w:hint="eastAsia" w:ascii="Times New Roman" w:hAnsi="Times New Roman" w:eastAsia="仿宋_GB2312" w:cs="仿宋_GB2312"/>
                <w:sz w:val="24"/>
                <w:szCs w:val="24"/>
              </w:rPr>
              <w:t xml:space="preserve">关键设备：Φ</w:t>
            </w:r>
            <w:r>
              <w:rPr>
                <w:rFonts w:hint="eastAsia" w:ascii="Times New Roman" w:hAnsi="Times New Roman" w:eastAsia="仿宋_GB2312" w:cs="仿宋_GB2312"/>
                <w:sz w:val="24"/>
                <w:szCs w:val="24"/>
              </w:rPr>
              <w:t xml:space="preserve">4.2</w:t>
            </w:r>
            <w:r>
              <w:rPr>
                <w:rFonts w:hint="eastAsia" w:ascii="Times New Roman" w:hAnsi="Times New Roman" w:eastAsia="仿宋_GB2312" w:cs="仿宋_GB2312"/>
                <w:sz w:val="24"/>
                <w:szCs w:val="24"/>
              </w:rPr>
              <w:t xml:space="preserve">×</w:t>
            </w:r>
            <w:r>
              <w:rPr>
                <w:rFonts w:hint="eastAsia" w:ascii="Times New Roman" w:hAnsi="Times New Roman" w:eastAsia="仿宋_GB2312" w:cs="仿宋_GB2312"/>
                <w:sz w:val="24"/>
                <w:szCs w:val="24"/>
              </w:rPr>
              <w:t xml:space="preserve">13m</w:t>
            </w:r>
            <w:r>
              <w:rPr>
                <w:rFonts w:hint="eastAsia" w:ascii="Times New Roman" w:hAnsi="Times New Roman" w:eastAsia="仿宋_GB2312" w:cs="仿宋_GB2312"/>
                <w:sz w:val="24"/>
                <w:szCs w:val="24"/>
              </w:rPr>
              <w:t xml:space="preserve">水泥磨机</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台</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3023"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在用游标卡尺鉴定证书超期；</w:t>
            </w:r>
            <w:r>
              <w:rPr>
                <w:rFonts w:hint="eastAsia" w:ascii="Times New Roman" w:hAnsi="Times New Roman" w:eastAsia="仿宋_GB2312" w:cs="仿宋_GB2312"/>
                <w:sz w:val="24"/>
                <w:szCs w:val="24"/>
              </w:rPr>
              <w:br/>
              <w:t xml:space="preserve">2.</w:t>
            </w:r>
            <w:r>
              <w:rPr>
                <w:rFonts w:hint="eastAsia" w:ascii="Times New Roman" w:hAnsi="Times New Roman" w:eastAsia="仿宋_GB2312" w:cs="仿宋_GB2312"/>
                <w:sz w:val="24"/>
                <w:szCs w:val="24"/>
              </w:rPr>
              <w:t xml:space="preserve">在质量管理文件中工艺流程缺少关键控制点标记；</w:t>
            </w:r>
            <w:r>
              <w:rPr>
                <w:rFonts w:hint="eastAsia" w:ascii="Times New Roman" w:hAnsi="Times New Roman" w:eastAsia="仿宋_GB2312" w:cs="仿宋_GB2312"/>
                <w:sz w:val="24"/>
                <w:szCs w:val="24"/>
              </w:rPr>
              <w:br/>
              <w:t xml:space="preserve">3.</w:t>
            </w:r>
            <w:r>
              <w:rPr>
                <w:rFonts w:hint="eastAsia" w:ascii="Times New Roman" w:hAnsi="Times New Roman" w:eastAsia="仿宋_GB2312" w:cs="仿宋_GB2312"/>
                <w:sz w:val="24"/>
                <w:szCs w:val="24"/>
              </w:rPr>
              <w:t xml:space="preserve">在企业检查中未看到出厂水泥台账；</w:t>
            </w:r>
            <w:r>
              <w:rPr>
                <w:rFonts w:hint="eastAsia" w:ascii="Times New Roman" w:hAnsi="Times New Roman" w:eastAsia="仿宋_GB2312" w:cs="仿宋_GB2312"/>
                <w:sz w:val="24"/>
                <w:szCs w:val="24"/>
              </w:rPr>
              <w:br/>
              <w:t xml:space="preserve">4.</w:t>
            </w:r>
            <w:r>
              <w:rPr>
                <w:rFonts w:hint="eastAsia" w:ascii="Times New Roman" w:hAnsi="Times New Roman" w:eastAsia="仿宋_GB2312" w:cs="仿宋_GB2312"/>
                <w:sz w:val="24"/>
                <w:szCs w:val="24"/>
              </w:rPr>
              <w:t xml:space="preserve">出厂水泥质量检验合格证中缺少许可证编号、</w:t>
            </w:r>
            <w:r>
              <w:rPr>
                <w:rFonts w:hint="eastAsia" w:ascii="Times New Roman" w:hAnsi="Times New Roman" w:eastAsia="仿宋_GB2312" w:cs="仿宋_GB2312"/>
                <w:sz w:val="24"/>
                <w:szCs w:val="24"/>
              </w:rPr>
              <w:t xml:space="preserve">QS</w:t>
            </w:r>
            <w:r>
              <w:rPr>
                <w:rFonts w:hint="eastAsia" w:ascii="Times New Roman" w:hAnsi="Times New Roman" w:eastAsia="仿宋_GB2312" w:cs="仿宋_GB2312"/>
                <w:sz w:val="24"/>
                <w:szCs w:val="24"/>
              </w:rPr>
              <w:t xml:space="preserve">标识、企业生产地址；</w:t>
            </w:r>
            <w:r>
              <w:rPr>
                <w:rFonts w:hint="eastAsia" w:ascii="Times New Roman" w:hAnsi="Times New Roman" w:eastAsia="仿宋_GB2312" w:cs="仿宋_GB2312"/>
                <w:sz w:val="24"/>
                <w:szCs w:val="24"/>
              </w:rPr>
              <w:br/>
              <w:t xml:space="preserve">5.</w:t>
            </w:r>
            <w:r>
              <w:rPr>
                <w:rFonts w:hint="eastAsia" w:ascii="Times New Roman" w:hAnsi="Times New Roman" w:eastAsia="仿宋_GB2312" w:cs="仿宋_GB2312"/>
                <w:sz w:val="24"/>
                <w:szCs w:val="24"/>
              </w:rPr>
              <w:t xml:space="preserve">采用一天水泥出厂产品的质量确认文件不完整。</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128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省</w:t>
            </w:r>
            <w:r>
              <w:rPr>
                <w:rFonts w:ascii="Times New Roman" w:hAnsi="Times New Roman" w:eastAsia="仿宋_GB2312" w:cs="仿宋_GB2312"/>
                <w:sz w:val="24"/>
                <w:szCs w:val="24"/>
              </w:rPr>
              <w:t xml:space="preserve">市场</w:t>
            </w:r>
            <w:r>
              <w:rPr>
                <w:rFonts w:ascii="Times New Roman" w:hAnsi="Times New Roman" w:eastAsia="仿宋_GB2312" w:cs="仿宋_GB2312"/>
                <w:sz w:val="24"/>
              </w:rPr>
            </w:r>
          </w:p>
          <w:p>
            <w:pPr>
              <w:widowControl w:val="true"/>
              <w:pBdr/>
              <w:spacing/>
              <w:ind/>
              <w:jc w:val="center"/>
              <w:rPr>
                <w:rFonts w:ascii="Times New Roman" w:hAnsi="Times New Roman" w:eastAsia="仿宋_GB2312" w:cs="仿宋_GB2312"/>
                <w:sz w:val="24"/>
              </w:rPr>
            </w:pPr>
            <w:r>
              <w:rPr>
                <w:rFonts w:ascii="Times New Roman" w:hAnsi="Times New Roman" w:eastAsia="仿宋_GB2312" w:cs="仿宋_GB2312"/>
                <w:sz w:val="24"/>
                <w:szCs w:val="24"/>
              </w:rPr>
              <w:t xml:space="preserve">监管</w:t>
            </w:r>
            <w:r>
              <w:rPr>
                <w:rFonts w:hint="eastAsia" w:ascii="Times New Roman" w:hAnsi="Times New Roman" w:eastAsia="仿宋_GB2312" w:cs="仿宋_GB2312"/>
                <w:sz w:val="24"/>
                <w:szCs w:val="24"/>
              </w:rPr>
              <w:t xml:space="preserve">局</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1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r>
    </w:tbl>
    <w:p>
      <w:pPr>
        <w:pStyle w:val="705"/>
        <w:pBdr/>
        <w:spacing/>
        <w:ind/>
        <w:jc w:val="both"/>
        <w:rPr/>
        <w:sectPr>
          <w:footnotePr/>
          <w:endnotePr/>
          <w:type w:val="nextPage"/>
          <w:pgSz w:h="11906" w:orient="portrait" w:w="16838"/>
          <w:pgMar w:top="1803" w:right="1440" w:bottom="1803" w:left="1440" w:header="851" w:footer="992" w:gutter="0"/>
          <w:cols w:num="1" w:sep="0" w:space="425" w:equalWidth="1"/>
        </w:sectPr>
      </w:pPr>
      <w:r/>
      <w:r/>
    </w:p>
    <w:p>
      <w:pPr>
        <w:pStyle w:val="706"/>
        <w:pBdr/>
        <w:spacing w:line="660" w:lineRule="exact"/>
        <w:ind w:firstLine="0" w:left="-420"/>
        <w:jc w:val="left"/>
        <w:rPr>
          <w:rFonts w:ascii="黑体" w:hAnsi="黑体" w:eastAsia="黑体" w:cs="黑体"/>
          <w:spacing w:val="-6"/>
          <w:sz w:val="32"/>
          <w:szCs w:val="32"/>
        </w:rPr>
      </w:pPr>
      <w:r>
        <w:rPr>
          <w:rFonts w:hint="eastAsia" w:ascii="黑体" w:hAnsi="黑体" w:eastAsia="黑体" w:cs="黑体"/>
          <w:spacing w:val="-6"/>
          <w:sz w:val="32"/>
          <w:szCs w:val="32"/>
        </w:rPr>
        <w:t xml:space="preserve">附件</w:t>
      </w:r>
      <w:r>
        <w:rPr>
          <w:rFonts w:hint="eastAsia" w:ascii="黑体" w:hAnsi="黑体" w:eastAsia="黑体" w:cs="黑体"/>
          <w:spacing w:val="-6"/>
          <w:sz w:val="32"/>
          <w:szCs w:val="32"/>
        </w:rPr>
        <w:t xml:space="preserve">3</w:t>
      </w:r>
      <w:r>
        <w:rPr>
          <w:rFonts w:ascii="黑体" w:hAnsi="黑体" w:eastAsia="黑体" w:cs="黑体"/>
          <w:spacing w:val="-6"/>
          <w:sz w:val="32"/>
          <w:szCs w:val="32"/>
        </w:rPr>
      </w:r>
    </w:p>
    <w:p>
      <w:pPr>
        <w:pStyle w:val="706"/>
        <w:pBdr/>
        <w:spacing w:line="400" w:lineRule="exact"/>
        <w:ind w:firstLine="0"/>
        <w:jc w:val="center"/>
        <w:rPr>
          <w:rFonts w:ascii="方正小标宋简体" w:hAnsi="Times New Roman" w:eastAsia="方正小标宋简体" w:cs="方正大标宋简体"/>
          <w:bCs/>
          <w:spacing w:val="-6"/>
          <w:sz w:val="44"/>
          <w:szCs w:val="44"/>
        </w:rPr>
      </w:pPr>
      <w:r>
        <w:rPr>
          <w:rFonts w:ascii="方正小标宋简体" w:hAnsi="Times New Roman" w:eastAsia="方正小标宋简体" w:cs="方正大标宋简体"/>
          <w:bCs/>
          <w:spacing w:val="-6"/>
          <w:sz w:val="44"/>
          <w:szCs w:val="44"/>
        </w:rPr>
      </w:r>
      <w:r>
        <w:rPr>
          <w:rFonts w:ascii="方正小标宋简体" w:hAnsi="Times New Roman" w:eastAsia="方正小标宋简体" w:cs="方正大标宋简体"/>
          <w:bCs/>
          <w:spacing w:val="-6"/>
          <w:sz w:val="44"/>
          <w:szCs w:val="44"/>
        </w:rPr>
      </w:r>
    </w:p>
    <w:p>
      <w:pPr>
        <w:pStyle w:val="706"/>
        <w:pBdr/>
        <w:spacing w:line="660" w:lineRule="exact"/>
        <w:ind w:firstLine="0"/>
        <w:jc w:val="center"/>
        <w:rPr>
          <w:rFonts w:ascii="方正小标宋简体" w:hAnsi="Times New Roman" w:eastAsia="方正小标宋简体"/>
        </w:rPr>
      </w:pPr>
      <w:r>
        <w:rPr>
          <w:rFonts w:hint="eastAsia" w:ascii="方正小标宋简体" w:hAnsi="Times New Roman" w:eastAsia="方正小标宋简体" w:cs="方正大标宋简体"/>
          <w:bCs/>
          <w:spacing w:val="-6"/>
          <w:sz w:val="44"/>
          <w:szCs w:val="44"/>
        </w:rPr>
        <w:t xml:space="preserve">达不到安全生产条件予以停产停业整顿企业名单</w:t>
      </w:r>
      <w:r>
        <w:rPr>
          <w:rFonts w:ascii="方正小标宋简体" w:hAnsi="Times New Roman" w:eastAsia="方正小标宋简体"/>
        </w:rPr>
      </w:r>
    </w:p>
    <w:p>
      <w:pPr>
        <w:pBdr/>
        <w:spacing/>
        <w:ind/>
        <w:rPr>
          <w:rFonts w:ascii="Times New Roman" w:hAnsi="Times New Roman"/>
        </w:rPr>
      </w:pPr>
      <w:r>
        <w:rPr>
          <w:rFonts w:ascii="Times New Roman" w:hAnsi="Times New Roman"/>
        </w:rPr>
      </w:r>
      <w:r>
        <w:rPr>
          <w:rFonts w:ascii="Times New Roman" w:hAnsi="Times New Roman"/>
        </w:rPr>
      </w:r>
    </w:p>
    <w:tbl>
      <w:tblPr>
        <w:tblW w:w="9390" w:type="dxa"/>
        <w:jc w:val="center"/>
        <w:tblBorders/>
        <w:tblLayout w:type="fixed"/>
        <w:tblCellMar>
          <w:left w:w="15" w:type="dxa"/>
          <w:top w:w="15" w:type="dxa"/>
          <w:right w:w="15" w:type="dxa"/>
          <w:bottom w:w="15" w:type="dxa"/>
        </w:tblCellMar>
        <w:tblLook w:val="04A0" w:firstRow="1" w:lastRow="0" w:firstColumn="1" w:lastColumn="0" w:noHBand="0" w:noVBand="1"/>
      </w:tblPr>
      <w:tblGrid>
        <w:gridCol w:w="1080"/>
        <w:gridCol w:w="8310"/>
      </w:tblGrid>
      <w:tr>
        <w:trPr>
          <w:jc w:val="center"/>
          <w:trHeight w:val="450"/>
          <w:tblHeader/>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序号</w:t>
            </w:r>
            <w:r>
              <w:rPr>
                <w:rFonts w:ascii="Times New Roman" w:hAnsi="Times New Roman" w:eastAsia="黑体" w:cs="黑体"/>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企业名称</w:t>
            </w:r>
            <w:r>
              <w:rPr>
                <w:rFonts w:ascii="Times New Roman" w:hAnsi="Times New Roman" w:eastAsia="黑体" w:cs="黑体"/>
                <w:sz w:val="24"/>
              </w:rPr>
            </w:r>
          </w:p>
        </w:tc>
      </w:tr>
      <w:tr>
        <w:trPr>
          <w:jc w:val="center"/>
          <w:trHeight w:val="450"/>
        </w:trPr>
        <w:tc>
          <w:tcPr>
            <w:gridSpan w:val="2"/>
            <w:shd w:val="clear" w:color="auto" w:fill="auto"/>
            <w:tcBorders>
              <w:top w:val="single" w:color="000000" w:sz="4" w:space="0"/>
              <w:left w:val="single" w:color="000000" w:sz="4" w:space="0"/>
              <w:bottom w:val="single" w:color="000000" w:sz="4" w:space="0"/>
              <w:right w:val="single" w:color="000000" w:sz="4" w:space="0"/>
            </w:tcBorders>
            <w:tcW w:w="9390" w:type="dxa"/>
            <w:vAlign w:val="center"/>
            <w:textDirection w:val="lrTb"/>
            <w:noWrap w:val="false"/>
          </w:tcPr>
          <w:p>
            <w:pPr>
              <w:widowControl w:val="true"/>
              <w:pBdr/>
              <w:spacing/>
              <w:ind/>
              <w:jc w:val="left"/>
              <w:rPr>
                <w:rFonts w:ascii="Times New Roman" w:hAnsi="Times New Roman" w:eastAsia="仿宋_GB2312" w:cs="仿宋_GB2312"/>
                <w:b/>
                <w:sz w:val="24"/>
              </w:rPr>
            </w:pPr>
            <w:r>
              <w:rPr>
                <w:rFonts w:hint="eastAsia" w:ascii="Times New Roman" w:hAnsi="Times New Roman" w:eastAsia="仿宋_GB2312" w:cs="仿宋_GB2312"/>
                <w:b/>
                <w:sz w:val="24"/>
                <w:szCs w:val="24"/>
              </w:rPr>
              <w:t xml:space="preserve">      </w:t>
            </w:r>
            <w:r>
              <w:rPr>
                <w:rFonts w:hint="eastAsia" w:ascii="Times New Roman" w:hAnsi="Times New Roman" w:eastAsia="仿宋_GB2312" w:cs="仿宋_GB2312"/>
                <w:b/>
                <w:sz w:val="24"/>
                <w:szCs w:val="24"/>
              </w:rPr>
              <w:t xml:space="preserve">一、非煤矿山企业</w:t>
            </w:r>
            <w:r>
              <w:rPr>
                <w:rFonts w:ascii="Times New Roman" w:hAnsi="Times New Roman" w:eastAsia="仿宋_GB2312" w:cs="仿宋_GB2312"/>
                <w:b/>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抚顺清原矿业有限公司</w:t>
            </w:r>
            <w:r>
              <w:rPr>
                <w:rFonts w:hint="eastAsia" w:ascii="Times New Roman" w:hAnsi="Times New Roman" w:eastAsia="仿宋_GB2312" w:cs="仿宋_GB2312"/>
                <w:sz w:val="24"/>
                <w:szCs w:val="24"/>
              </w:rPr>
              <w:t xml:space="preserve">1</w:t>
            </w:r>
            <w:r>
              <w:rPr>
                <w:rFonts w:hint="eastAsia" w:ascii="Times New Roman" w:hAnsi="Times New Roman" w:eastAsia="仿宋_GB2312" w:cs="仿宋_GB2312"/>
                <w:sz w:val="24"/>
                <w:szCs w:val="24"/>
              </w:rPr>
              <w:t xml:space="preserve">号尾矿库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抚顺清原矿业有限公司</w:t>
            </w:r>
            <w:r>
              <w:rPr>
                <w:rFonts w:hint="eastAsia" w:ascii="Times New Roman" w:hAnsi="Times New Roman" w:eastAsia="仿宋_GB2312" w:cs="仿宋_GB2312"/>
                <w:sz w:val="24"/>
                <w:szCs w:val="24"/>
              </w:rPr>
              <w:t xml:space="preserve">2</w:t>
            </w:r>
            <w:r>
              <w:rPr>
                <w:rFonts w:hint="eastAsia" w:ascii="Times New Roman" w:hAnsi="Times New Roman" w:eastAsia="仿宋_GB2312" w:cs="仿宋_GB2312"/>
                <w:sz w:val="24"/>
                <w:szCs w:val="24"/>
              </w:rPr>
              <w:t xml:space="preserve">号尾矿库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抚顺罕王上马矿业有限公司第一尾矿库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凤城东方矿业有限公司尾矿库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凤城市东方硼铁矿业有限公司尾矿库旧库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凤城市厚利选矿有限责任公司尾矿库二库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凤城市宏达矿业有限责任公司尾矿库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凤城市石城镇陈财沟选矿厂尾矿库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凤城市玉龙金选厂尾矿库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凤城市龙翔铁选有限公司尾矿库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凤城市通远堡智艳选矿厂尾矿库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凤城市地利源铁选有限公司尾矿库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凤城市永兴工贸有限责任公司尾矿库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凤城市全满选矿厂尾矿库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凤城市第一硼砂厂尾矿库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凤城市通远堡北方矿石加工厂尾矿库</w:t>
            </w:r>
            <w:r>
              <w:rPr>
                <w:rFonts w:ascii="Times New Roman" w:hAnsi="Times New Roman" w:eastAsia="仿宋_GB2312" w:cs="仿宋_GB2312"/>
                <w:sz w:val="24"/>
              </w:rPr>
            </w:r>
          </w:p>
        </w:tc>
      </w:tr>
      <w:tr>
        <w:trPr>
          <w:jc w:val="center"/>
          <w:trHeight w:val="510"/>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凤城市同心矿业有限公司尾矿库旧库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凤城市恒通硼铁有限公司尾矿库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凤城市森旺矿业有限公司尾矿库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20</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丹东东方矿山有限公司尾矿库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辽宁东方矿业有限公司尾矿库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宽甸满族自治县昌兴矿业有限公司尾矿库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宽甸满族自治县硼海镇海大铁选厂尾矿库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宽甸富元铁业有限公司尾矿库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宽甸满族自治县泰昌金铜矿二矿尾矿库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宽甸星航矿业有限责任公司尾矿库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阜新新民金矿有限公司二号尾矿库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阜蒙县鸿枭精粉加工厂尾矿库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阜新业翔集团闪长岩加工厂尾矿库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30</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阜新德盛金矿业有限责任公司尾矿库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阜新增益矿业有限公司第一尾矿库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阜新蒙古族自治县华强铁矿尾矿库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阜新市金兰矿产公司尾矿库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阜新蒙古族自治县国华乡鑫铁铁矿尾矿库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朝阳县金鑫矿业有限公司尾矿库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朝阳县众大铁砂选厂尾矿库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朝阳鹏程硕恒矿业有限公司尾矿库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喀左县中三家豆腐房村铁石加工厂选厂尾矿库</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喀左县永盛矿业有限公司尾矿库</w:t>
            </w:r>
            <w:r>
              <w:rPr>
                <w:rFonts w:ascii="Times New Roman" w:hAnsi="Times New Roman" w:eastAsia="仿宋_GB2312" w:cs="仿宋_GB2312"/>
                <w:sz w:val="24"/>
              </w:rPr>
            </w:r>
          </w:p>
        </w:tc>
      </w:tr>
      <w:tr>
        <w:trPr>
          <w:jc w:val="center"/>
          <w:trHeight w:val="405"/>
        </w:trPr>
        <w:tc>
          <w:tcPr>
            <w:gridSpan w:val="2"/>
            <w:shd w:val="clear" w:color="auto" w:fill="auto"/>
            <w:tcBorders>
              <w:top w:val="single" w:color="000000" w:sz="4" w:space="0"/>
              <w:left w:val="single" w:color="000000" w:sz="4" w:space="0"/>
              <w:bottom w:val="single" w:color="000000" w:sz="4" w:space="0"/>
              <w:right w:val="single" w:color="000000" w:sz="4" w:space="0"/>
            </w:tcBorders>
            <w:tcW w:w="9390" w:type="dxa"/>
            <w:vAlign w:val="center"/>
            <w:textDirection w:val="lrTb"/>
            <w:noWrap w:val="false"/>
          </w:tcPr>
          <w:p>
            <w:pPr>
              <w:widowControl w:val="true"/>
              <w:pBdr/>
              <w:spacing/>
              <w:ind/>
              <w:jc w:val="left"/>
              <w:rPr>
                <w:rFonts w:ascii="Times New Roman" w:hAnsi="Times New Roman" w:eastAsia="仿宋_GB2312" w:cs="仿宋_GB2312"/>
                <w:b/>
                <w:sz w:val="24"/>
              </w:rPr>
            </w:pPr>
            <w:r>
              <w:rPr>
                <w:rFonts w:hint="eastAsia" w:ascii="Times New Roman" w:hAnsi="Times New Roman" w:eastAsia="仿宋_GB2312" w:cs="仿宋_GB2312"/>
                <w:b/>
                <w:sz w:val="24"/>
                <w:szCs w:val="24"/>
              </w:rPr>
              <w:t xml:space="preserve">      </w:t>
            </w:r>
            <w:r>
              <w:rPr>
                <w:rFonts w:hint="eastAsia" w:ascii="Times New Roman" w:hAnsi="Times New Roman" w:eastAsia="仿宋_GB2312" w:cs="仿宋_GB2312"/>
                <w:b/>
                <w:sz w:val="24"/>
                <w:szCs w:val="24"/>
              </w:rPr>
              <w:t xml:space="preserve">二、危化企业</w:t>
            </w:r>
            <w:r>
              <w:rPr>
                <w:rFonts w:ascii="Times New Roman" w:hAnsi="Times New Roman" w:eastAsia="仿宋_GB2312" w:cs="仿宋_GB2312"/>
                <w:b/>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大连能源有限公司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海城市接文镇兴隆加油站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海城市孤山镇天香加油站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海城市孤山镇广利加油站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海城市岔沟镇洪源加油站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海城市马风镇益顺达加油站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海城市马风镇材木加油站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海城市八里镇二道加油站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海城市八里通达加油有限公司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海城市英落镇金华加油站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海城市英落加油站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海城市英落镇后印村加油站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海城市八里镇三星加油站</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辽宁润裕精细化工有限公司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金久奇（抚顺）药业有限公司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抚顺华科精细化工有限公司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联宇（抚顺）蜡业有限公司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辽宁道博精细化学品生产有限公司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19</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辽宁同益石化有限公司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20</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辽宁拜斯特复合材料有限公司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21</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抚顺新凤样精细化工有限公司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22</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大石桥市中润石化物质经销处</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23</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营口东赢商贸有限公司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24</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营口华益石化有限公司</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25</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张国华油厂</w:t>
            </w:r>
            <w:r>
              <w:rPr>
                <w:rFonts w:ascii="Times New Roman" w:hAnsi="Times New Roman" w:eastAsia="仿宋_GB2312" w:cs="仿宋_GB2312"/>
                <w:sz w:val="24"/>
              </w:rPr>
            </w:r>
          </w:p>
        </w:tc>
      </w:tr>
      <w:tr>
        <w:trPr>
          <w:jc w:val="center"/>
          <w:trHeight w:val="405"/>
        </w:trPr>
        <w:tc>
          <w:tcPr>
            <w:shd w:val="clear" w:color="auto" w:fill="auto"/>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26</w:t>
            </w:r>
            <w:r>
              <w:rPr>
                <w:rFonts w:ascii="Times New Roman" w:hAnsi="Times New Roman" w:eastAsia="仿宋_GB2312" w:cs="仿宋_GB2312"/>
                <w:sz w:val="24"/>
              </w:rPr>
            </w:r>
          </w:p>
        </w:tc>
        <w:tc>
          <w:tcPr>
            <w:shd w:val="clear" w:color="auto" w:fill="auto"/>
            <w:tcBorders>
              <w:top w:val="single" w:color="000000" w:sz="4" w:space="0"/>
              <w:left w:val="single" w:color="000000" w:sz="4" w:space="0"/>
              <w:bottom w:val="single" w:color="000000" w:sz="4" w:space="0"/>
              <w:right w:val="single" w:color="000000" w:sz="4" w:space="0"/>
            </w:tcBorders>
            <w:tcW w:w="8310" w:type="dxa"/>
            <w:vAlign w:val="center"/>
            <w:textDirection w:val="lrTb"/>
            <w:noWrap w:val="false"/>
          </w:tcPr>
          <w:p>
            <w:pPr>
              <w:widowControl w:val="true"/>
              <w:pBdr/>
              <w:spacing/>
              <w:ind/>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盘锦华冠中交路星道路沥青有限公司</w:t>
            </w:r>
            <w:r>
              <w:rPr>
                <w:rFonts w:ascii="Times New Roman" w:hAnsi="Times New Roman" w:eastAsia="仿宋_GB2312" w:cs="仿宋_GB2312"/>
                <w:sz w:val="24"/>
              </w:rPr>
            </w:r>
          </w:p>
        </w:tc>
      </w:tr>
    </w:tbl>
    <w:p>
      <w:pPr>
        <w:pStyle w:val="705"/>
        <w:pBdr/>
        <w:spacing/>
        <w:ind/>
        <w:rPr/>
      </w:pPr>
      <w:r>
        <w:rPr>
          <w:rFonts w:hint="eastAsia"/>
        </w:rPr>
        <w:br w:type="page" w:clear="all"/>
      </w:r>
      <w:r/>
    </w:p>
    <w:p>
      <w:pPr>
        <w:pBdr/>
        <w:spacing w:line="660" w:lineRule="exact"/>
        <w:ind w:left="-420"/>
        <w:jc w:val="left"/>
        <w:rPr>
          <w:rFonts w:ascii="黑体" w:hAnsi="黑体" w:eastAsia="黑体" w:cs="黑体"/>
          <w:sz w:val="32"/>
          <w:szCs w:val="32"/>
        </w:rPr>
      </w:pPr>
      <w:r>
        <w:rPr>
          <w:rFonts w:hint="eastAsia" w:ascii="黑体" w:hAnsi="黑体" w:eastAsia="黑体" w:cs="黑体"/>
          <w:sz w:val="32"/>
          <w:szCs w:val="32"/>
        </w:rPr>
        <w:t xml:space="preserve">附件</w:t>
      </w:r>
      <w:r>
        <w:rPr>
          <w:rFonts w:hint="eastAsia" w:ascii="黑体" w:hAnsi="黑体" w:eastAsia="黑体" w:cs="黑体"/>
          <w:sz w:val="32"/>
          <w:szCs w:val="32"/>
        </w:rPr>
        <w:t xml:space="preserve">4</w:t>
      </w:r>
      <w:r>
        <w:rPr>
          <w:rFonts w:ascii="黑体" w:hAnsi="黑体" w:eastAsia="黑体" w:cs="黑体"/>
          <w:sz w:val="32"/>
          <w:szCs w:val="32"/>
        </w:rPr>
      </w:r>
    </w:p>
    <w:p>
      <w:pPr>
        <w:pStyle w:val="705"/>
        <w:pBdr/>
        <w:spacing/>
        <w:ind/>
        <w:rPr>
          <w:rFonts w:eastAsiaTheme="minorEastAsia"/>
        </w:rPr>
      </w:pPr>
      <w:r>
        <w:rPr>
          <w:rFonts w:eastAsiaTheme="minorEastAsia"/>
        </w:rPr>
      </w:r>
      <w:r>
        <w:rPr>
          <w:rFonts w:eastAsiaTheme="minorEastAsia"/>
        </w:rPr>
      </w:r>
    </w:p>
    <w:p>
      <w:pPr>
        <w:pBdr/>
        <w:spacing w:line="660" w:lineRule="exact"/>
        <w:ind/>
        <w:jc w:val="center"/>
        <w:rPr>
          <w:rFonts w:ascii="方正小标宋简体" w:hAnsi="Times New Roman" w:eastAsia="方正小标宋简体" w:cs="Times New Roman"/>
          <w:sz w:val="36"/>
          <w:szCs w:val="36"/>
        </w:rPr>
      </w:pPr>
      <w:r>
        <w:rPr>
          <w:rFonts w:hint="eastAsia" w:ascii="方正小标宋简体" w:hAnsi="Times New Roman" w:eastAsia="方正小标宋简体" w:cs="方正大标宋简体"/>
          <w:bCs/>
          <w:sz w:val="44"/>
          <w:szCs w:val="44"/>
        </w:rPr>
        <w:t xml:space="preserve">全省钢铁企业限制类装备升级改造项目表</w:t>
      </w:r>
      <w:r>
        <w:rPr>
          <w:rFonts w:ascii="方正小标宋简体" w:hAnsi="Times New Roman" w:eastAsia="方正小标宋简体" w:cs="Times New Roman"/>
          <w:sz w:val="36"/>
          <w:szCs w:val="36"/>
        </w:rPr>
      </w:r>
    </w:p>
    <w:tbl>
      <w:tblPr>
        <w:tblW w:w="9612" w:type="dxa"/>
        <w:jc w:val="center"/>
        <w:tblBorders/>
        <w:tblLayout w:type="fixed"/>
        <w:tblCellMar>
          <w:left w:w="15" w:type="dxa"/>
          <w:top w:w="15" w:type="dxa"/>
          <w:right w:w="15" w:type="dxa"/>
          <w:bottom w:w="15" w:type="dxa"/>
        </w:tblCellMar>
        <w:tblLook w:val="04A0" w:firstRow="1" w:lastRow="0" w:firstColumn="1" w:lastColumn="0" w:noHBand="0" w:noVBand="1"/>
      </w:tblPr>
      <w:tblGrid>
        <w:gridCol w:w="794"/>
        <w:gridCol w:w="2745"/>
        <w:gridCol w:w="4709"/>
        <w:gridCol w:w="1364"/>
      </w:tblGrid>
      <w:tr>
        <w:trPr>
          <w:jc w:val="center"/>
          <w:trHeight w:val="548"/>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320" w:lineRule="exact"/>
              <w:ind/>
              <w:jc w:val="center"/>
              <w:rPr>
                <w:rFonts w:ascii="Times New Roman" w:hAnsi="Times New Roman" w:eastAsia="黑体" w:cs="黑体"/>
                <w:sz w:val="28"/>
                <w:szCs w:val="28"/>
              </w:rPr>
            </w:pPr>
            <w:r>
              <w:rPr>
                <w:rFonts w:hint="eastAsia" w:ascii="Times New Roman" w:hAnsi="Times New Roman" w:eastAsia="黑体" w:cs="黑体"/>
                <w:sz w:val="28"/>
                <w:szCs w:val="28"/>
              </w:rPr>
              <w:t xml:space="preserve">序号</w:t>
            </w:r>
            <w:r>
              <w:rPr>
                <w:rFonts w:ascii="Times New Roman" w:hAnsi="Times New Roman" w:eastAsia="黑体" w:cs="黑体"/>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320" w:lineRule="exact"/>
              <w:ind/>
              <w:jc w:val="center"/>
              <w:rPr>
                <w:rFonts w:ascii="Times New Roman" w:hAnsi="Times New Roman" w:eastAsia="黑体" w:cs="黑体"/>
                <w:sz w:val="28"/>
                <w:szCs w:val="28"/>
              </w:rPr>
            </w:pPr>
            <w:r>
              <w:rPr>
                <w:rFonts w:hint="eastAsia" w:ascii="Times New Roman" w:hAnsi="Times New Roman" w:eastAsia="黑体" w:cs="黑体"/>
                <w:sz w:val="28"/>
                <w:szCs w:val="28"/>
              </w:rPr>
              <w:t xml:space="preserve">企业</w:t>
            </w:r>
            <w:r>
              <w:rPr>
                <w:rFonts w:ascii="Times New Roman" w:hAnsi="Times New Roman" w:eastAsia="黑体" w:cs="黑体"/>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320" w:lineRule="exact"/>
              <w:ind/>
              <w:jc w:val="center"/>
              <w:rPr>
                <w:rFonts w:ascii="Times New Roman" w:hAnsi="Times New Roman" w:eastAsia="黑体" w:cs="黑体"/>
                <w:sz w:val="28"/>
                <w:szCs w:val="28"/>
              </w:rPr>
            </w:pPr>
            <w:r>
              <w:rPr>
                <w:rFonts w:hint="eastAsia" w:ascii="Times New Roman" w:hAnsi="Times New Roman" w:eastAsia="黑体" w:cs="黑体"/>
                <w:sz w:val="28"/>
                <w:szCs w:val="28"/>
              </w:rPr>
              <w:t xml:space="preserve">产能置换情况</w:t>
            </w:r>
            <w:r>
              <w:rPr>
                <w:rFonts w:ascii="Times New Roman" w:hAnsi="Times New Roman" w:eastAsia="黑体" w:cs="黑体"/>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320" w:lineRule="exact"/>
              <w:ind/>
              <w:jc w:val="center"/>
              <w:rPr>
                <w:rFonts w:ascii="Times New Roman" w:hAnsi="Times New Roman" w:eastAsia="黑体" w:cs="黑体"/>
                <w:sz w:val="28"/>
                <w:szCs w:val="28"/>
              </w:rPr>
            </w:pPr>
            <w:r>
              <w:rPr>
                <w:rFonts w:hint="eastAsia" w:ascii="Times New Roman" w:hAnsi="Times New Roman" w:eastAsia="黑体" w:cs="黑体"/>
                <w:sz w:val="28"/>
                <w:szCs w:val="28"/>
              </w:rPr>
              <w:t xml:space="preserve">完成时限</w:t>
            </w:r>
            <w:r>
              <w:rPr>
                <w:rFonts w:ascii="Times New Roman" w:hAnsi="Times New Roman" w:eastAsia="黑体" w:cs="黑体"/>
                <w:sz w:val="28"/>
                <w:szCs w:val="28"/>
              </w:rPr>
            </w:r>
          </w:p>
        </w:tc>
      </w:tr>
      <w:tr>
        <w:trPr>
          <w:jc w:val="center"/>
          <w:trHeight w:val="495"/>
        </w:trPr>
        <w:tc>
          <w:tcPr>
            <w:gridSpan w:val="4"/>
            <w:shd w:val="clear" w:color="auto" w:fill="auto"/>
            <w:tcBorders>
              <w:top w:val="single" w:color="000000" w:sz="4" w:space="0"/>
              <w:left w:val="single" w:color="000000" w:sz="4" w:space="0"/>
              <w:bottom w:val="single" w:color="auto" w:sz="4" w:space="0"/>
              <w:right w:val="single" w:color="000000" w:sz="4" w:space="0"/>
            </w:tcBorders>
            <w:tcW w:w="9612" w:type="dxa"/>
            <w:vAlign w:val="center"/>
            <w:textDirection w:val="lrTb"/>
            <w:noWrap w:val="false"/>
          </w:tcPr>
          <w:p>
            <w:pPr>
              <w:widowControl w:val="true"/>
              <w:pBdr/>
              <w:spacing w:line="32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b/>
                <w:sz w:val="28"/>
                <w:szCs w:val="28"/>
              </w:rPr>
              <w:t xml:space="preserve">在建项目</w:t>
            </w:r>
            <w:r>
              <w:rPr>
                <w:rFonts w:ascii="Times New Roman" w:hAnsi="Times New Roman" w:eastAsia="仿宋_GB2312" w:cs="仿宋_GB2312"/>
                <w:sz w:val="28"/>
                <w:szCs w:val="28"/>
              </w:rPr>
            </w:r>
          </w:p>
        </w:tc>
      </w:tr>
      <w:tr>
        <w:trPr>
          <w:jc w:val="center"/>
          <w:trHeight w:val="765"/>
        </w:trPr>
        <w:tc>
          <w:tcPr>
            <w:shd w:val="clear" w:color="auto" w:fill="auto"/>
            <w:tcBorders>
              <w:top w:val="single" w:color="auto" w:sz="4" w:space="0"/>
              <w:left w:val="single" w:color="auto" w:sz="4" w:space="0"/>
              <w:bottom w:val="single" w:color="auto" w:sz="4" w:space="0"/>
              <w:right w:val="single" w:color="auto"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w:t>
            </w:r>
            <w:r>
              <w:rPr>
                <w:rFonts w:ascii="Times New Roman" w:hAnsi="Times New Roman" w:eastAsia="仿宋_GB2312" w:cs="仿宋_GB2312"/>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2745"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本钢集团有限公司</w:t>
            </w:r>
            <w:r>
              <w:rPr>
                <w:rFonts w:ascii="Times New Roman" w:hAnsi="Times New Roman" w:eastAsia="仿宋_GB2312" w:cs="仿宋_GB2312"/>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特钢电炉改造：退出</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50</w:t>
            </w:r>
            <w:r>
              <w:rPr>
                <w:rFonts w:hint="eastAsia" w:ascii="Times New Roman" w:hAnsi="Times New Roman" w:eastAsia="仿宋_GB2312" w:cs="仿宋_GB2312"/>
                <w:sz w:val="28"/>
                <w:szCs w:val="28"/>
              </w:rPr>
              <w:t xml:space="preserve">吨电炉，建设</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89</w:t>
            </w:r>
            <w:r>
              <w:rPr>
                <w:rFonts w:hint="eastAsia" w:ascii="Times New Roman" w:hAnsi="Times New Roman" w:eastAsia="仿宋_GB2312" w:cs="仿宋_GB2312"/>
                <w:sz w:val="28"/>
                <w:szCs w:val="28"/>
              </w:rPr>
              <w:t xml:space="preserve">吨电炉</w:t>
            </w:r>
            <w:r>
              <w:rPr>
                <w:rFonts w:hint="eastAsia" w:ascii="Times New Roman" w:hAnsi="Times New Roman" w:eastAsia="仿宋_GB2312" w:cs="仿宋_GB2312"/>
                <w:sz w:val="28"/>
                <w:szCs w:val="28"/>
              </w:rPr>
              <w:t xml:space="preserve"> </w:t>
            </w:r>
            <w:r>
              <w:rPr>
                <w:rFonts w:ascii="Times New Roman" w:hAnsi="Times New Roman" w:eastAsia="仿宋_GB2312" w:cs="仿宋_GB2312"/>
                <w:sz w:val="28"/>
                <w:szCs w:val="28"/>
              </w:rP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2023</w:t>
            </w:r>
            <w:r>
              <w:rPr>
                <w:rFonts w:hint="eastAsia" w:ascii="Times New Roman" w:hAnsi="Times New Roman" w:eastAsia="仿宋_GB2312" w:cs="仿宋_GB2312"/>
                <w:sz w:val="28"/>
                <w:szCs w:val="28"/>
              </w:rPr>
              <w:t xml:space="preserve">年</w:t>
            </w:r>
            <w:r>
              <w:rPr>
                <w:rFonts w:ascii="Times New Roman" w:hAnsi="Times New Roman" w:eastAsia="仿宋_GB2312" w:cs="仿宋_GB2312"/>
                <w:sz w:val="28"/>
                <w:szCs w:val="28"/>
              </w:rPr>
            </w:r>
          </w:p>
        </w:tc>
      </w:tr>
      <w:tr>
        <w:trPr>
          <w:jc w:val="center"/>
          <w:trHeight w:val="960"/>
        </w:trPr>
        <w:tc>
          <w:tcPr>
            <w:shd w:val="clear" w:color="auto" w:fill="auto"/>
            <w:tcBorders>
              <w:top w:val="single" w:color="auto"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w:t>
            </w:r>
            <w:r>
              <w:rPr>
                <w:rFonts w:ascii="Times New Roman" w:hAnsi="Times New Roman" w:eastAsia="仿宋_GB2312" w:cs="仿宋_GB2312"/>
                <w:sz w:val="28"/>
                <w:szCs w:val="28"/>
              </w:rPr>
            </w:r>
          </w:p>
        </w:tc>
        <w:tc>
          <w:tcPr>
            <w:shd w:val="clear" w:color="auto" w:fill="auto"/>
            <w:tcBorders>
              <w:top w:val="single" w:color="auto" w:sz="4" w:space="0"/>
              <w:left w:val="single" w:color="000000" w:sz="4" w:space="0"/>
              <w:bottom w:val="single" w:color="000000" w:sz="4" w:space="0"/>
              <w:right w:val="single" w:color="000000" w:sz="4" w:space="0"/>
            </w:tcBorders>
            <w:tcW w:w="2745"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ascii="Times New Roman" w:hAnsi="Times New Roman" w:eastAsia="仿宋_GB2312" w:cs="仿宋_GB2312"/>
                <w:sz w:val="28"/>
                <w:szCs w:val="28"/>
              </w:rPr>
            </w:r>
            <w:r>
              <w:rPr>
                <w:rFonts w:ascii="Times New Roman" w:hAnsi="Times New Roman" w:eastAsia="仿宋_GB2312" w:cs="仿宋_GB2312"/>
                <w:sz w:val="28"/>
                <w:szCs w:val="28"/>
              </w:rPr>
            </w:r>
          </w:p>
        </w:tc>
        <w:tc>
          <w:tcPr>
            <w:shd w:val="clear" w:color="auto" w:fill="auto"/>
            <w:tcBorders>
              <w:top w:val="single" w:color="auto"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北营转炉改造：退出</w:t>
            </w:r>
            <w:r>
              <w:rPr>
                <w:rFonts w:hint="eastAsia" w:ascii="Times New Roman" w:hAnsi="Times New Roman" w:eastAsia="仿宋_GB2312" w:cs="仿宋_GB2312"/>
                <w:sz w:val="28"/>
                <w:szCs w:val="28"/>
              </w:rPr>
              <w:t xml:space="preserve">4</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50</w:t>
            </w:r>
            <w:r>
              <w:rPr>
                <w:rFonts w:hint="eastAsia" w:ascii="Times New Roman" w:hAnsi="Times New Roman" w:eastAsia="仿宋_GB2312" w:cs="仿宋_GB2312"/>
                <w:sz w:val="28"/>
                <w:szCs w:val="28"/>
              </w:rPr>
              <w:t xml:space="preserve">吨转炉，建设</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100</w:t>
            </w:r>
            <w:r>
              <w:rPr>
                <w:rFonts w:hint="eastAsia" w:ascii="Times New Roman" w:hAnsi="Times New Roman" w:eastAsia="仿宋_GB2312" w:cs="仿宋_GB2312"/>
                <w:sz w:val="28"/>
                <w:szCs w:val="28"/>
              </w:rPr>
              <w:t xml:space="preserve">吨转炉，</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70</w:t>
            </w:r>
            <w:r>
              <w:rPr>
                <w:rFonts w:hint="eastAsia" w:ascii="Times New Roman" w:hAnsi="Times New Roman" w:eastAsia="仿宋_GB2312" w:cs="仿宋_GB2312"/>
                <w:sz w:val="28"/>
                <w:szCs w:val="28"/>
              </w:rPr>
              <w:t xml:space="preserve">吨电炉（电炉改建到本钢特钢）</w:t>
            </w:r>
            <w:r>
              <w:rPr>
                <w:rFonts w:ascii="Times New Roman" w:hAnsi="Times New Roman" w:eastAsia="仿宋_GB2312" w:cs="仿宋_GB2312"/>
                <w:sz w:val="28"/>
                <w:szCs w:val="28"/>
              </w:rPr>
            </w:r>
          </w:p>
        </w:tc>
        <w:tc>
          <w:tcPr>
            <w:shd w:val="clear" w:color="auto" w:fill="auto"/>
            <w:tcBorders>
              <w:top w:val="single" w:color="auto"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2023</w:t>
            </w:r>
            <w:r>
              <w:rPr>
                <w:rFonts w:hint="eastAsia" w:ascii="Times New Roman" w:hAnsi="Times New Roman" w:eastAsia="仿宋_GB2312" w:cs="仿宋_GB2312"/>
                <w:sz w:val="28"/>
                <w:szCs w:val="28"/>
              </w:rPr>
              <w:t xml:space="preserve">年</w:t>
            </w:r>
            <w:r>
              <w:rPr>
                <w:rFonts w:ascii="Times New Roman" w:hAnsi="Times New Roman" w:eastAsia="仿宋_GB2312" w:cs="仿宋_GB2312"/>
                <w:sz w:val="28"/>
                <w:szCs w:val="28"/>
              </w:rPr>
            </w:r>
          </w:p>
        </w:tc>
      </w:tr>
      <w:tr>
        <w:trPr>
          <w:jc w:val="center"/>
          <w:trHeight w:val="750"/>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3</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vMerge w:val="restart"/>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抚顺新钢铁有限公司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转炉改造：退出</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40</w:t>
            </w:r>
            <w:r>
              <w:rPr>
                <w:rFonts w:hint="eastAsia" w:ascii="Times New Roman" w:hAnsi="Times New Roman" w:eastAsia="仿宋_GB2312" w:cs="仿宋_GB2312"/>
                <w:sz w:val="28"/>
                <w:szCs w:val="28"/>
              </w:rPr>
              <w:t xml:space="preserve">吨，</w:t>
            </w:r>
            <w:r>
              <w:rPr>
                <w:rFonts w:hint="eastAsia" w:ascii="Times New Roman" w:hAnsi="Times New Roman" w:eastAsia="仿宋_GB2312" w:cs="仿宋_GB2312"/>
                <w:sz w:val="28"/>
                <w:szCs w:val="28"/>
              </w:rPr>
              <w:t xml:space="preserve">3</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35</w:t>
            </w:r>
            <w:r>
              <w:rPr>
                <w:rFonts w:hint="eastAsia" w:ascii="Times New Roman" w:hAnsi="Times New Roman" w:eastAsia="仿宋_GB2312" w:cs="仿宋_GB2312"/>
                <w:sz w:val="28"/>
                <w:szCs w:val="28"/>
              </w:rPr>
              <w:t xml:space="preserve">吨转炉，建设</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120</w:t>
            </w:r>
            <w:r>
              <w:rPr>
                <w:rFonts w:hint="eastAsia" w:ascii="Times New Roman" w:hAnsi="Times New Roman" w:eastAsia="仿宋_GB2312" w:cs="仿宋_GB2312"/>
                <w:sz w:val="28"/>
                <w:szCs w:val="28"/>
              </w:rPr>
              <w:t xml:space="preserve">吨转炉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2022</w:t>
            </w:r>
            <w:r>
              <w:rPr>
                <w:rFonts w:hint="eastAsia" w:ascii="Times New Roman" w:hAnsi="Times New Roman" w:eastAsia="仿宋_GB2312" w:cs="仿宋_GB2312"/>
                <w:sz w:val="28"/>
                <w:szCs w:val="28"/>
              </w:rPr>
              <w:t xml:space="preserve">年底</w:t>
            </w:r>
            <w:r>
              <w:rPr>
                <w:rFonts w:ascii="Times New Roman" w:hAnsi="Times New Roman" w:eastAsia="仿宋_GB2312" w:cs="仿宋_GB2312"/>
                <w:sz w:val="28"/>
                <w:szCs w:val="28"/>
              </w:rPr>
            </w:r>
          </w:p>
        </w:tc>
      </w:tr>
      <w:tr>
        <w:trPr>
          <w:jc w:val="center"/>
          <w:trHeight w:val="1000"/>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4</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vMerge w:val="continue"/>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ascii="Times New Roman" w:hAnsi="Times New Roman" w:eastAsia="仿宋_GB2312" w:cs="仿宋_GB2312"/>
                <w:sz w:val="28"/>
                <w:szCs w:val="28"/>
              </w:rPr>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高炉改造：退出</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420</w:t>
            </w:r>
            <w:r>
              <w:rPr>
                <w:rFonts w:hint="eastAsia" w:ascii="Times New Roman" w:hAnsi="Times New Roman" w:eastAsia="仿宋_GB2312" w:cs="仿宋_GB2312"/>
                <w:sz w:val="28"/>
                <w:szCs w:val="28"/>
              </w:rPr>
              <w:t xml:space="preserve">立方米、</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450</w:t>
            </w:r>
            <w:r>
              <w:rPr>
                <w:rFonts w:hint="eastAsia" w:ascii="Times New Roman" w:hAnsi="Times New Roman" w:eastAsia="仿宋_GB2312" w:cs="仿宋_GB2312"/>
                <w:sz w:val="28"/>
                <w:szCs w:val="28"/>
              </w:rPr>
              <w:t xml:space="preserve">立方米和</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450</w:t>
            </w:r>
            <w:r>
              <w:rPr>
                <w:rFonts w:hint="eastAsia" w:ascii="Times New Roman" w:hAnsi="Times New Roman" w:eastAsia="仿宋_GB2312" w:cs="仿宋_GB2312"/>
                <w:sz w:val="28"/>
                <w:szCs w:val="28"/>
              </w:rPr>
              <w:t xml:space="preserve">立方米高炉，建设</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1200</w:t>
            </w:r>
            <w:r>
              <w:rPr>
                <w:rFonts w:hint="eastAsia" w:ascii="Times New Roman" w:hAnsi="Times New Roman" w:eastAsia="仿宋_GB2312" w:cs="仿宋_GB2312"/>
                <w:sz w:val="28"/>
                <w:szCs w:val="28"/>
              </w:rPr>
              <w:t xml:space="preserve">立方米高炉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2025</w:t>
            </w:r>
            <w:r>
              <w:rPr>
                <w:rFonts w:hint="eastAsia" w:ascii="Times New Roman" w:hAnsi="Times New Roman" w:eastAsia="仿宋_GB2312" w:cs="仿宋_GB2312"/>
                <w:sz w:val="28"/>
                <w:szCs w:val="28"/>
              </w:rPr>
              <w:t xml:space="preserve">年底</w:t>
            </w:r>
            <w:r>
              <w:rPr>
                <w:rFonts w:ascii="Times New Roman" w:hAnsi="Times New Roman" w:eastAsia="仿宋_GB2312" w:cs="仿宋_GB2312"/>
                <w:sz w:val="28"/>
                <w:szCs w:val="28"/>
              </w:rPr>
            </w:r>
          </w:p>
        </w:tc>
      </w:tr>
      <w:tr>
        <w:trPr>
          <w:jc w:val="center"/>
          <w:trHeight w:val="533"/>
        </w:trPr>
        <w:tc>
          <w:tcPr>
            <w:shd w:val="clear" w:color="auto" w:fill="auto"/>
            <w:tcBorders>
              <w:top w:val="single" w:color="000000" w:sz="4" w:space="0"/>
              <w:left w:val="single" w:color="000000" w:sz="4" w:space="0"/>
              <w:bottom w:val="single" w:color="auto"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5</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auto" w:sz="4" w:space="0"/>
              <w:right w:val="single" w:color="000000" w:sz="4" w:space="0"/>
            </w:tcBorders>
            <w:tcW w:w="2745"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凌源钢铁集团有限</w:t>
            </w:r>
            <w:r>
              <w:rPr>
                <w:rFonts w:ascii="Times New Roman" w:hAnsi="Times New Roman" w:eastAsia="仿宋_GB2312" w:cs="仿宋_GB2312"/>
                <w:sz w:val="28"/>
                <w:szCs w:val="28"/>
              </w:rPr>
            </w:r>
          </w:p>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auto"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转炉改造：退出</w:t>
            </w:r>
            <w:r>
              <w:rPr>
                <w:rFonts w:hint="eastAsia" w:ascii="Times New Roman" w:hAnsi="Times New Roman" w:eastAsia="仿宋_GB2312" w:cs="仿宋_GB2312"/>
                <w:sz w:val="28"/>
                <w:szCs w:val="28"/>
              </w:rPr>
              <w:t xml:space="preserve">3</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35</w:t>
            </w:r>
            <w:r>
              <w:rPr>
                <w:rFonts w:hint="eastAsia" w:ascii="Times New Roman" w:hAnsi="Times New Roman" w:eastAsia="仿宋_GB2312" w:cs="仿宋_GB2312"/>
                <w:sz w:val="28"/>
                <w:szCs w:val="28"/>
              </w:rPr>
              <w:t xml:space="preserve">吨转炉，建设</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120</w:t>
            </w:r>
            <w:r>
              <w:rPr>
                <w:rFonts w:hint="eastAsia" w:ascii="Times New Roman" w:hAnsi="Times New Roman" w:eastAsia="仿宋_GB2312" w:cs="仿宋_GB2312"/>
                <w:sz w:val="28"/>
                <w:szCs w:val="28"/>
              </w:rPr>
              <w:t xml:space="preserve">吨转炉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auto"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2022</w:t>
            </w:r>
            <w:r>
              <w:rPr>
                <w:rFonts w:hint="eastAsia" w:ascii="Times New Roman" w:hAnsi="Times New Roman" w:eastAsia="仿宋_GB2312" w:cs="仿宋_GB2312"/>
                <w:sz w:val="28"/>
                <w:szCs w:val="28"/>
              </w:rPr>
              <w:t xml:space="preserve">年底</w:t>
            </w:r>
            <w:r>
              <w:rPr>
                <w:rFonts w:ascii="Times New Roman" w:hAnsi="Times New Roman" w:eastAsia="仿宋_GB2312" w:cs="仿宋_GB2312"/>
                <w:sz w:val="28"/>
                <w:szCs w:val="28"/>
              </w:rPr>
            </w:r>
          </w:p>
        </w:tc>
      </w:tr>
      <w:tr>
        <w:trPr>
          <w:jc w:val="center"/>
          <w:trHeight w:val="488"/>
        </w:trPr>
        <w:tc>
          <w:tcPr>
            <w:gridSpan w:val="4"/>
            <w:shd w:val="clear" w:color="auto" w:fill="auto"/>
            <w:tcBorders>
              <w:top w:val="single" w:color="auto" w:sz="4" w:space="0"/>
              <w:left w:val="single" w:color="auto" w:sz="4" w:space="0"/>
              <w:bottom w:val="single" w:color="auto" w:sz="4" w:space="0"/>
              <w:right w:val="single" w:color="auto" w:sz="4" w:space="0"/>
            </w:tcBorders>
            <w:tcW w:w="9612"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b/>
                <w:sz w:val="28"/>
                <w:szCs w:val="28"/>
              </w:rPr>
              <w:t xml:space="preserve">规划项目</w:t>
            </w:r>
            <w:r>
              <w:rPr>
                <w:rFonts w:ascii="Times New Roman" w:hAnsi="Times New Roman" w:eastAsia="仿宋_GB2312" w:cs="仿宋_GB2312"/>
                <w:sz w:val="28"/>
                <w:szCs w:val="28"/>
              </w:rPr>
            </w:r>
          </w:p>
        </w:tc>
      </w:tr>
      <w:tr>
        <w:trPr>
          <w:jc w:val="center"/>
          <w:trHeight w:val="1063"/>
        </w:trPr>
        <w:tc>
          <w:tcPr>
            <w:shd w:val="clear" w:color="auto" w:fill="auto"/>
            <w:tcBorders>
              <w:top w:val="single" w:color="auto"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6</w:t>
            </w:r>
            <w:r>
              <w:rPr>
                <w:rFonts w:ascii="Times New Roman" w:hAnsi="Times New Roman" w:eastAsia="仿宋_GB2312" w:cs="仿宋_GB2312"/>
                <w:sz w:val="28"/>
                <w:szCs w:val="28"/>
              </w:rPr>
            </w:r>
          </w:p>
        </w:tc>
        <w:tc>
          <w:tcPr>
            <w:shd w:val="clear" w:color="auto" w:fill="auto"/>
            <w:tcBorders>
              <w:top w:val="single" w:color="auto"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后英集团海城钢铁</w:t>
            </w:r>
            <w:r>
              <w:rPr>
                <w:rFonts w:ascii="Times New Roman" w:hAnsi="Times New Roman" w:eastAsia="仿宋_GB2312" w:cs="仿宋_GB2312"/>
                <w:sz w:val="28"/>
                <w:szCs w:val="28"/>
              </w:rPr>
            </w:r>
          </w:p>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有限公司</w:t>
            </w:r>
            <w:r>
              <w:rPr>
                <w:rFonts w:ascii="Times New Roman" w:hAnsi="Times New Roman" w:eastAsia="仿宋_GB2312" w:cs="仿宋_GB2312"/>
                <w:sz w:val="28"/>
                <w:szCs w:val="28"/>
              </w:rPr>
            </w:r>
          </w:p>
        </w:tc>
        <w:tc>
          <w:tcPr>
            <w:shd w:val="clear" w:color="auto" w:fill="auto"/>
            <w:tcBorders>
              <w:top w:val="single" w:color="auto"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退出现有</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580</w:t>
            </w:r>
            <w:r>
              <w:rPr>
                <w:rFonts w:hint="eastAsia" w:ascii="Times New Roman" w:hAnsi="Times New Roman" w:eastAsia="仿宋_GB2312" w:cs="仿宋_GB2312"/>
                <w:sz w:val="28"/>
                <w:szCs w:val="28"/>
              </w:rPr>
              <w:t xml:space="preserve">立方米高炉（已退出了</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450</w:t>
            </w:r>
            <w:r>
              <w:rPr>
                <w:rFonts w:hint="eastAsia" w:ascii="Times New Roman" w:hAnsi="Times New Roman" w:eastAsia="仿宋_GB2312" w:cs="仿宋_GB2312"/>
                <w:sz w:val="28"/>
                <w:szCs w:val="28"/>
              </w:rPr>
              <w:t xml:space="preserve">立方米高炉），建设</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1350</w:t>
            </w:r>
            <w:r>
              <w:rPr>
                <w:rFonts w:hint="eastAsia" w:ascii="Times New Roman" w:hAnsi="Times New Roman" w:eastAsia="仿宋_GB2312" w:cs="仿宋_GB2312"/>
                <w:sz w:val="28"/>
                <w:szCs w:val="28"/>
              </w:rPr>
              <w:t xml:space="preserve">立方米高炉</w:t>
            </w:r>
            <w:r>
              <w:rPr>
                <w:rFonts w:ascii="Times New Roman" w:hAnsi="Times New Roman" w:eastAsia="仿宋_GB2312" w:cs="仿宋_GB2312"/>
                <w:sz w:val="28"/>
                <w:szCs w:val="28"/>
              </w:rPr>
            </w:r>
          </w:p>
        </w:tc>
        <w:tc>
          <w:tcPr>
            <w:shd w:val="clear" w:color="auto" w:fill="auto"/>
            <w:tcBorders>
              <w:top w:val="single" w:color="auto"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未开工</w:t>
            </w:r>
            <w:r>
              <w:rPr>
                <w:rFonts w:ascii="Times New Roman" w:hAnsi="Times New Roman" w:eastAsia="仿宋_GB2312" w:cs="仿宋_GB2312"/>
                <w:sz w:val="28"/>
                <w:szCs w:val="28"/>
              </w:rPr>
            </w:r>
          </w:p>
        </w:tc>
      </w:tr>
      <w:tr>
        <w:trPr>
          <w:jc w:val="center"/>
          <w:trHeight w:val="1023"/>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7</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凌源钢铁集团有限</w:t>
            </w:r>
            <w:r>
              <w:rPr>
                <w:rFonts w:ascii="Times New Roman" w:hAnsi="Times New Roman" w:eastAsia="仿宋_GB2312" w:cs="仿宋_GB2312"/>
                <w:sz w:val="28"/>
                <w:szCs w:val="28"/>
              </w:rPr>
            </w:r>
          </w:p>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退出现有</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450</w:t>
            </w:r>
            <w:r>
              <w:rPr>
                <w:rFonts w:hint="eastAsia" w:ascii="Times New Roman" w:hAnsi="Times New Roman" w:eastAsia="仿宋_GB2312" w:cs="仿宋_GB2312"/>
                <w:sz w:val="28"/>
                <w:szCs w:val="28"/>
              </w:rPr>
              <w:t xml:space="preserve">立方米和</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1000</w:t>
            </w:r>
            <w:r>
              <w:rPr>
                <w:rFonts w:hint="eastAsia" w:ascii="Times New Roman" w:hAnsi="Times New Roman" w:eastAsia="仿宋_GB2312" w:cs="仿宋_GB2312"/>
                <w:sz w:val="28"/>
                <w:szCs w:val="28"/>
              </w:rPr>
              <w:t xml:space="preserve">立方米高炉，拟建设</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1550</w:t>
            </w:r>
            <w:r>
              <w:rPr>
                <w:rFonts w:hint="eastAsia" w:ascii="Times New Roman" w:hAnsi="Times New Roman" w:eastAsia="仿宋_GB2312" w:cs="仿宋_GB2312"/>
                <w:sz w:val="28"/>
                <w:szCs w:val="28"/>
              </w:rPr>
              <w:t xml:space="preserve">立方米高炉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未开展</w:t>
            </w:r>
            <w:r>
              <w:rPr>
                <w:rFonts w:ascii="Times New Roman" w:hAnsi="Times New Roman" w:eastAsia="仿宋_GB2312" w:cs="仿宋_GB2312"/>
                <w:sz w:val="28"/>
                <w:szCs w:val="28"/>
              </w:rPr>
            </w:r>
          </w:p>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产能置换</w:t>
            </w:r>
            <w:r>
              <w:rPr>
                <w:rFonts w:ascii="Times New Roman" w:hAnsi="Times New Roman" w:eastAsia="仿宋_GB2312" w:cs="仿宋_GB2312"/>
                <w:sz w:val="28"/>
                <w:szCs w:val="28"/>
              </w:rPr>
            </w:r>
          </w:p>
        </w:tc>
      </w:tr>
      <w:tr>
        <w:trPr>
          <w:jc w:val="center"/>
          <w:trHeight w:val="441"/>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8</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本钢集团有限公司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退出现有</w:t>
            </w:r>
            <w:r>
              <w:rPr>
                <w:rFonts w:hint="eastAsia" w:ascii="Times New Roman" w:hAnsi="Times New Roman" w:eastAsia="仿宋_GB2312" w:cs="仿宋_GB2312"/>
                <w:sz w:val="28"/>
                <w:szCs w:val="28"/>
              </w:rPr>
              <w:t xml:space="preserve">3</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530</w:t>
            </w:r>
            <w:r>
              <w:rPr>
                <w:rFonts w:hint="eastAsia" w:ascii="Times New Roman" w:hAnsi="Times New Roman" w:eastAsia="仿宋_GB2312" w:cs="仿宋_GB2312"/>
                <w:sz w:val="28"/>
                <w:szCs w:val="28"/>
              </w:rPr>
              <w:t xml:space="preserve">立方米高炉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未形成</w:t>
            </w:r>
            <w:r>
              <w:rPr>
                <w:rFonts w:ascii="Times New Roman" w:hAnsi="Times New Roman" w:eastAsia="仿宋_GB2312" w:cs="仿宋_GB2312"/>
                <w:sz w:val="28"/>
                <w:szCs w:val="28"/>
              </w:rPr>
            </w:r>
          </w:p>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方案</w:t>
            </w:r>
            <w:r>
              <w:rPr>
                <w:rFonts w:ascii="Times New Roman" w:hAnsi="Times New Roman" w:eastAsia="仿宋_GB2312" w:cs="仿宋_GB2312"/>
                <w:sz w:val="28"/>
                <w:szCs w:val="28"/>
              </w:rPr>
            </w:r>
          </w:p>
        </w:tc>
      </w:tr>
      <w:tr>
        <w:trPr>
          <w:jc w:val="center"/>
          <w:trHeight w:val="636"/>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ascii="Times New Roman" w:hAnsi="Times New Roman" w:eastAsia="仿宋_GB2312" w:cs="仿宋_GB2312"/>
                <w:sz w:val="28"/>
                <w:szCs w:val="28"/>
              </w:rPr>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海城恒盛铸业有限</w:t>
            </w:r>
            <w:r>
              <w:rPr>
                <w:rFonts w:ascii="Times New Roman" w:hAnsi="Times New Roman" w:eastAsia="仿宋_GB2312" w:cs="仿宋_GB2312"/>
                <w:sz w:val="28"/>
                <w:szCs w:val="28"/>
              </w:rPr>
            </w:r>
          </w:p>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退出现有</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450</w:t>
            </w:r>
            <w:r>
              <w:rPr>
                <w:rFonts w:hint="eastAsia" w:ascii="Times New Roman" w:hAnsi="Times New Roman" w:eastAsia="仿宋_GB2312" w:cs="仿宋_GB2312"/>
                <w:sz w:val="28"/>
                <w:szCs w:val="28"/>
              </w:rPr>
              <w:t xml:space="preserve">立方米高炉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未形成</w:t>
            </w:r>
            <w:r>
              <w:rPr>
                <w:rFonts w:ascii="Times New Roman" w:hAnsi="Times New Roman" w:eastAsia="仿宋_GB2312" w:cs="仿宋_GB2312"/>
                <w:sz w:val="28"/>
                <w:szCs w:val="28"/>
              </w:rPr>
            </w:r>
          </w:p>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方案</w:t>
            </w:r>
            <w:r>
              <w:rPr>
                <w:rFonts w:ascii="Times New Roman" w:hAnsi="Times New Roman" w:eastAsia="仿宋_GB2312" w:cs="仿宋_GB2312"/>
                <w:sz w:val="28"/>
                <w:szCs w:val="28"/>
              </w:rPr>
            </w:r>
          </w:p>
        </w:tc>
      </w:tr>
      <w:tr>
        <w:trPr>
          <w:jc w:val="center"/>
          <w:trHeight w:val="588"/>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9</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锦兴特钢有限公司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退出现有</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550</w:t>
            </w:r>
            <w:r>
              <w:rPr>
                <w:rFonts w:hint="eastAsia" w:ascii="Times New Roman" w:hAnsi="Times New Roman" w:eastAsia="仿宋_GB2312" w:cs="仿宋_GB2312"/>
                <w:sz w:val="28"/>
                <w:szCs w:val="28"/>
              </w:rPr>
              <w:t xml:space="preserve">立方米高炉和</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60</w:t>
            </w:r>
            <w:r>
              <w:rPr>
                <w:rFonts w:hint="eastAsia" w:ascii="Times New Roman" w:hAnsi="Times New Roman" w:eastAsia="仿宋_GB2312" w:cs="仿宋_GB2312"/>
                <w:sz w:val="28"/>
                <w:szCs w:val="28"/>
              </w:rPr>
              <w:t xml:space="preserve">吨转炉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未形成</w:t>
            </w:r>
            <w:r>
              <w:rPr>
                <w:rFonts w:ascii="Times New Roman" w:hAnsi="Times New Roman" w:eastAsia="仿宋_GB2312" w:cs="仿宋_GB2312"/>
                <w:sz w:val="28"/>
                <w:szCs w:val="28"/>
              </w:rPr>
            </w:r>
          </w:p>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方案</w:t>
            </w:r>
            <w:r>
              <w:rPr>
                <w:rFonts w:ascii="Times New Roman" w:hAnsi="Times New Roman" w:eastAsia="仿宋_GB2312" w:cs="仿宋_GB2312"/>
                <w:sz w:val="28"/>
                <w:szCs w:val="28"/>
              </w:rPr>
            </w:r>
          </w:p>
        </w:tc>
      </w:tr>
      <w:tr>
        <w:trPr>
          <w:jc w:val="center"/>
          <w:trHeight w:val="750"/>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10</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辽宁凤辉实业集团有限公司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退出现有</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600</w:t>
            </w:r>
            <w:r>
              <w:rPr>
                <w:rFonts w:hint="eastAsia" w:ascii="Times New Roman" w:hAnsi="Times New Roman" w:eastAsia="仿宋_GB2312" w:cs="仿宋_GB2312"/>
                <w:sz w:val="28"/>
                <w:szCs w:val="28"/>
              </w:rPr>
              <w:t xml:space="preserve">立方米和</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1000</w:t>
            </w:r>
            <w:r>
              <w:rPr>
                <w:rFonts w:hint="eastAsia" w:ascii="Times New Roman" w:hAnsi="Times New Roman" w:eastAsia="仿宋_GB2312" w:cs="仿宋_GB2312"/>
                <w:sz w:val="28"/>
                <w:szCs w:val="28"/>
              </w:rPr>
              <w:t xml:space="preserve">立方米高炉，</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40</w:t>
            </w:r>
            <w:r>
              <w:rPr>
                <w:rFonts w:hint="eastAsia" w:ascii="Times New Roman" w:hAnsi="Times New Roman" w:eastAsia="仿宋_GB2312" w:cs="仿宋_GB2312"/>
                <w:sz w:val="28"/>
                <w:szCs w:val="28"/>
              </w:rPr>
              <w:t xml:space="preserve">吨转炉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未形成</w:t>
            </w:r>
            <w:r>
              <w:rPr>
                <w:rFonts w:ascii="Times New Roman" w:hAnsi="Times New Roman" w:eastAsia="仿宋_GB2312" w:cs="仿宋_GB2312"/>
                <w:sz w:val="28"/>
                <w:szCs w:val="28"/>
              </w:rPr>
            </w:r>
          </w:p>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方案</w:t>
            </w:r>
            <w:r>
              <w:rPr>
                <w:rFonts w:ascii="Times New Roman" w:hAnsi="Times New Roman" w:eastAsia="仿宋_GB2312" w:cs="仿宋_GB2312"/>
                <w:sz w:val="28"/>
                <w:szCs w:val="28"/>
              </w:rPr>
            </w:r>
          </w:p>
        </w:tc>
      </w:tr>
      <w:tr>
        <w:trPr>
          <w:jc w:val="center"/>
          <w:trHeight w:val="542"/>
        </w:trPr>
        <w:tc>
          <w:tcPr>
            <w:shd w:val="clear" w:color="auto" w:fill="auto"/>
            <w:tcBorders>
              <w:top w:val="single" w:color="000000" w:sz="4" w:space="0"/>
              <w:left w:val="single" w:color="000000" w:sz="4" w:space="0"/>
              <w:bottom w:val="single" w:color="000000" w:sz="4" w:space="0"/>
              <w:right w:val="single" w:color="000000" w:sz="4" w:space="0"/>
            </w:tcBorders>
            <w:tcW w:w="79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11</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2745"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朝阳明鑫铸业有限公司</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4709" w:type="dxa"/>
            <w:vAlign w:val="center"/>
            <w:textDirection w:val="lrTb"/>
            <w:noWrap w:val="false"/>
          </w:tcPr>
          <w:p>
            <w:pPr>
              <w:widowControl w:val="true"/>
              <w:pBdr/>
              <w:spacing w:line="280" w:lineRule="exact"/>
              <w:ind/>
              <w:jc w:val="lef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退出现有</w:t>
            </w:r>
            <w:r>
              <w:rPr>
                <w:rFonts w:hint="eastAsia" w:ascii="Times New Roman" w:hAnsi="Times New Roman" w:eastAsia="仿宋_GB2312" w:cs="仿宋_GB2312"/>
                <w:sz w:val="28"/>
                <w:szCs w:val="28"/>
              </w:rPr>
              <w:t xml:space="preserve">2</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450</w:t>
            </w:r>
            <w:r>
              <w:rPr>
                <w:rFonts w:hint="eastAsia" w:ascii="Times New Roman" w:hAnsi="Times New Roman" w:eastAsia="仿宋_GB2312" w:cs="仿宋_GB2312"/>
                <w:sz w:val="28"/>
                <w:szCs w:val="28"/>
              </w:rPr>
              <w:t xml:space="preserve">立方米高炉和</w:t>
            </w:r>
            <w:r>
              <w:rPr>
                <w:rFonts w:hint="eastAsia" w:ascii="Times New Roman" w:hAnsi="Times New Roman" w:eastAsia="仿宋_GB2312" w:cs="仿宋_GB2312"/>
                <w:sz w:val="28"/>
                <w:szCs w:val="28"/>
              </w:rPr>
              <w:t xml:space="preserve">1</w:t>
            </w:r>
            <w:r>
              <w:rPr>
                <w:rFonts w:hint="eastAsia" w:ascii="Times New Roman" w:hAnsi="Times New Roman" w:eastAsia="仿宋_GB2312" w:cs="仿宋_GB2312"/>
                <w:sz w:val="28"/>
                <w:szCs w:val="28"/>
              </w:rPr>
              <w:t xml:space="preserve">座</w:t>
            </w:r>
            <w:r>
              <w:rPr>
                <w:rFonts w:hint="eastAsia" w:ascii="Times New Roman" w:hAnsi="Times New Roman" w:eastAsia="仿宋_GB2312" w:cs="仿宋_GB2312"/>
                <w:sz w:val="28"/>
                <w:szCs w:val="28"/>
              </w:rPr>
              <w:t xml:space="preserve">50</w:t>
            </w:r>
            <w:r>
              <w:rPr>
                <w:rFonts w:hint="eastAsia" w:ascii="Times New Roman" w:hAnsi="Times New Roman" w:eastAsia="仿宋_GB2312" w:cs="仿宋_GB2312"/>
                <w:sz w:val="28"/>
                <w:szCs w:val="28"/>
              </w:rPr>
              <w:t xml:space="preserve">吨转炉</w:t>
            </w:r>
            <w:r>
              <w:rPr>
                <w:rFonts w:ascii="Times New Roman" w:hAnsi="Times New Roman" w:eastAsia="仿宋_GB2312" w:cs="仿宋_GB2312"/>
                <w:sz w:val="28"/>
                <w:szCs w:val="28"/>
              </w:rPr>
            </w:r>
          </w:p>
        </w:tc>
        <w:tc>
          <w:tcPr>
            <w:shd w:val="clear" w:color="auto" w:fill="auto"/>
            <w:tcBorders>
              <w:top w:val="single" w:color="000000" w:sz="4" w:space="0"/>
              <w:left w:val="single" w:color="000000" w:sz="4" w:space="0"/>
              <w:bottom w:val="single" w:color="000000" w:sz="4" w:space="0"/>
              <w:right w:val="single" w:color="000000" w:sz="4" w:space="0"/>
            </w:tcBorders>
            <w:tcW w:w="1364" w:type="dxa"/>
            <w:vAlign w:val="center"/>
            <w:textDirection w:val="lrTb"/>
            <w:noWrap w:val="false"/>
          </w:tcPr>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未形成</w:t>
            </w:r>
            <w:r>
              <w:rPr>
                <w:rFonts w:ascii="Times New Roman" w:hAnsi="Times New Roman" w:eastAsia="仿宋_GB2312" w:cs="仿宋_GB2312"/>
                <w:sz w:val="28"/>
                <w:szCs w:val="28"/>
              </w:rPr>
            </w:r>
          </w:p>
          <w:p>
            <w:pPr>
              <w:widowControl w:val="true"/>
              <w:pBdr/>
              <w:spacing w:line="280" w:lineRule="exact"/>
              <w:ind/>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方案</w:t>
            </w:r>
            <w:r>
              <w:rPr>
                <w:rFonts w:ascii="Times New Roman" w:hAnsi="Times New Roman" w:eastAsia="仿宋_GB2312" w:cs="仿宋_GB2312"/>
                <w:sz w:val="28"/>
                <w:szCs w:val="28"/>
              </w:rPr>
            </w:r>
          </w:p>
        </w:tc>
      </w:tr>
    </w:tbl>
    <w:p>
      <w:pPr>
        <w:pBdr/>
        <w:spacing w:line="660" w:lineRule="exact"/>
        <w:ind/>
        <w:jc w:val="left"/>
        <w:rPr>
          <w:rFonts w:ascii="黑体" w:hAnsi="黑体" w:eastAsia="黑体" w:cs="黑体"/>
          <w:bCs/>
          <w:sz w:val="32"/>
          <w:szCs w:val="32"/>
        </w:rPr>
      </w:pPr>
      <w:r>
        <w:rPr>
          <w:rFonts w:ascii="Times New Roman" w:hAnsi="Times New Roman" w:eastAsia="黑体" w:cs="Times New Roman"/>
          <w:sz w:val="36"/>
          <w:szCs w:val="36"/>
        </w:rPr>
        <w:br w:type="page" w:clear="all"/>
      </w:r>
      <w:r>
        <w:rPr>
          <w:rFonts w:hint="eastAsia" w:ascii="黑体" w:hAnsi="黑体" w:eastAsia="黑体" w:cs="黑体"/>
          <w:bCs/>
          <w:sz w:val="32"/>
          <w:szCs w:val="32"/>
        </w:rPr>
        <w:t xml:space="preserve">附件</w:t>
      </w:r>
      <w:r>
        <w:rPr>
          <w:rFonts w:hint="eastAsia" w:ascii="黑体" w:hAnsi="黑体" w:eastAsia="黑体" w:cs="黑体"/>
          <w:bCs/>
          <w:sz w:val="32"/>
          <w:szCs w:val="32"/>
        </w:rPr>
        <w:t xml:space="preserve">5</w:t>
      </w:r>
      <w:r>
        <w:rPr>
          <w:rFonts w:ascii="黑体" w:hAnsi="黑体" w:eastAsia="黑体" w:cs="黑体"/>
          <w:bCs/>
          <w:sz w:val="32"/>
          <w:szCs w:val="32"/>
        </w:rPr>
      </w:r>
    </w:p>
    <w:p>
      <w:pPr>
        <w:pBdr/>
        <w:spacing w:line="400" w:lineRule="exact"/>
        <w:ind/>
        <w:jc w:val="center"/>
        <w:rPr>
          <w:rFonts w:ascii="方正小标宋简体" w:hAnsi="Times New Roman" w:eastAsia="方正小标宋简体" w:cs="方正大标宋简体"/>
          <w:sz w:val="44"/>
          <w:szCs w:val="44"/>
        </w:rPr>
      </w:pPr>
      <w:r>
        <w:rPr>
          <w:rFonts w:ascii="方正小标宋简体" w:hAnsi="Times New Roman" w:eastAsia="方正小标宋简体" w:cs="方正大标宋简体"/>
          <w:sz w:val="44"/>
          <w:szCs w:val="44"/>
        </w:rPr>
      </w:r>
      <w:r>
        <w:rPr>
          <w:rFonts w:ascii="方正小标宋简体" w:hAnsi="Times New Roman" w:eastAsia="方正小标宋简体" w:cs="方正大标宋简体"/>
          <w:sz w:val="44"/>
          <w:szCs w:val="44"/>
        </w:rPr>
      </w:r>
    </w:p>
    <w:p>
      <w:pPr>
        <w:pBdr/>
        <w:spacing w:line="660" w:lineRule="exact"/>
        <w:ind/>
        <w:jc w:val="center"/>
        <w:rPr>
          <w:rFonts w:ascii="方正小标宋简体" w:hAnsi="Times New Roman" w:eastAsia="方正小标宋简体" w:cs="Times New Roman"/>
          <w:sz w:val="36"/>
          <w:szCs w:val="36"/>
        </w:rPr>
      </w:pPr>
      <w:r>
        <w:rPr>
          <w:rFonts w:hint="eastAsia" w:ascii="方正小标宋简体" w:hAnsi="Times New Roman" w:eastAsia="方正小标宋简体" w:cs="方正大标宋简体"/>
          <w:sz w:val="44"/>
          <w:szCs w:val="44"/>
        </w:rPr>
        <w:t xml:space="preserve">菱镁产业违规轻烧反射窑企业名单</w:t>
      </w:r>
      <w:r>
        <w:rPr>
          <w:rFonts w:ascii="方正小标宋简体" w:hAnsi="Times New Roman" w:eastAsia="方正小标宋简体" w:cs="Times New Roman"/>
          <w:sz w:val="36"/>
          <w:szCs w:val="36"/>
        </w:rPr>
      </w:r>
    </w:p>
    <w:tbl>
      <w:tblPr>
        <w:tblW w:w="9810" w:type="dxa"/>
        <w:jc w:val="center"/>
        <w:tblBorders/>
        <w:tblLayout w:type="fixed"/>
        <w:tblCellMar>
          <w:left w:w="15" w:type="dxa"/>
          <w:top w:w="15" w:type="dxa"/>
          <w:right w:w="15" w:type="dxa"/>
          <w:bottom w:w="15" w:type="dxa"/>
        </w:tblCellMar>
        <w:tblLook w:val="04A0" w:firstRow="1" w:lastRow="0" w:firstColumn="1" w:lastColumn="0" w:noHBand="0" w:noVBand="1"/>
      </w:tblPr>
      <w:tblGrid>
        <w:gridCol w:w="855"/>
        <w:gridCol w:w="1080"/>
        <w:gridCol w:w="1081"/>
        <w:gridCol w:w="5145"/>
        <w:gridCol w:w="1649"/>
      </w:tblGrid>
      <w:tr>
        <w:trPr>
          <w:cantSplit/>
          <w:jc w:val="center"/>
          <w:trHeight w:val="567"/>
          <w:tblHeader/>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序号</w:t>
            </w:r>
            <w:r>
              <w:rPr>
                <w:rFonts w:ascii="Times New Roman" w:hAnsi="Times New Roman" w:eastAsia="黑体" w:cs="黑体"/>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地区</w:t>
            </w:r>
            <w:r>
              <w:rPr>
                <w:rFonts w:ascii="Times New Roman" w:hAnsi="Times New Roman" w:eastAsia="黑体" w:cs="黑体"/>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县区</w:t>
            </w:r>
            <w:r>
              <w:rPr>
                <w:rFonts w:ascii="Times New Roman" w:hAnsi="Times New Roman" w:eastAsia="黑体" w:cs="黑体"/>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企业名称</w:t>
            </w:r>
            <w:r>
              <w:rPr>
                <w:rFonts w:ascii="Times New Roman" w:hAnsi="Times New Roman" w:eastAsia="黑体" w:cs="黑体"/>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黑体" w:cs="黑体"/>
                <w:sz w:val="24"/>
              </w:rPr>
            </w:pPr>
            <w:r>
              <w:rPr>
                <w:rFonts w:hint="eastAsia" w:ascii="Times New Roman" w:hAnsi="Times New Roman" w:eastAsia="黑体" w:cs="黑体"/>
                <w:sz w:val="24"/>
                <w:szCs w:val="24"/>
              </w:rPr>
              <w:t xml:space="preserve">反射窑</w:t>
            </w:r>
            <w:r>
              <w:rPr>
                <w:rFonts w:hint="eastAsia" w:ascii="Times New Roman" w:hAnsi="Times New Roman" w:eastAsia="黑体" w:cs="黑体"/>
                <w:sz w:val="24"/>
                <w:szCs w:val="24"/>
              </w:rPr>
              <w:br/>
            </w:r>
            <w:r>
              <w:rPr>
                <w:rFonts w:hint="eastAsia" w:ascii="Times New Roman" w:hAnsi="Times New Roman" w:eastAsia="黑体" w:cs="黑体"/>
                <w:sz w:val="24"/>
                <w:szCs w:val="24"/>
              </w:rPr>
              <w:t xml:space="preserve">数量（座）</w:t>
            </w:r>
            <w:r>
              <w:rPr>
                <w:rFonts w:ascii="Times New Roman" w:hAnsi="Times New Roman" w:eastAsia="黑体" w:cs="黑体"/>
                <w:sz w:val="24"/>
              </w:rPr>
            </w:r>
          </w:p>
        </w:tc>
      </w:tr>
      <w:tr>
        <w:trPr>
          <w:cantSplit/>
          <w:jc w:val="center"/>
          <w:trHeight w:val="567"/>
        </w:trPr>
        <w:tc>
          <w:tcPr>
            <w:gridSpan w:val="4"/>
            <w:shd w:val="clear" w:color="auto" w:fill="ffffff"/>
            <w:tcBorders>
              <w:top w:val="single" w:color="000000" w:sz="4" w:space="0"/>
              <w:left w:val="single" w:color="000000" w:sz="4" w:space="0"/>
              <w:bottom w:val="single" w:color="000000" w:sz="4" w:space="0"/>
              <w:right w:val="single" w:color="000000" w:sz="4" w:space="0"/>
            </w:tcBorders>
            <w:tcW w:w="8161" w:type="dxa"/>
            <w:vAlign w:val="center"/>
            <w:textDirection w:val="lrTb"/>
            <w:noWrap w:val="false"/>
          </w:tcPr>
          <w:p>
            <w:pPr>
              <w:pBdr/>
              <w:spacing/>
              <w:ind/>
              <w:jc w:val="center"/>
              <w:rPr>
                <w:rFonts w:ascii="Times New Roman" w:hAnsi="Times New Roman" w:eastAsia="仿宋_GB2312" w:cs="仿宋_GB2312"/>
                <w:b/>
                <w:sz w:val="24"/>
              </w:rPr>
            </w:pPr>
            <w:r>
              <w:rPr>
                <w:rFonts w:hint="eastAsia" w:ascii="Times New Roman" w:hAnsi="Times New Roman" w:eastAsia="仿宋_GB2312" w:cs="仿宋_GB2312"/>
                <w:b/>
                <w:sz w:val="24"/>
                <w:szCs w:val="24"/>
              </w:rPr>
              <w:t xml:space="preserve">合计</w:t>
            </w:r>
            <w:r>
              <w:rPr>
                <w:rFonts w:ascii="Times New Roman" w:hAnsi="Times New Roman" w:eastAsia="仿宋_GB2312" w:cs="仿宋_GB2312"/>
                <w:b/>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b/>
                <w:sz w:val="24"/>
              </w:rPr>
            </w:pPr>
            <w:r>
              <w:rPr>
                <w:rFonts w:ascii="Times New Roman" w:hAnsi="Times New Roman" w:eastAsia="仿宋_GB2312" w:cs="仿宋_GB2312"/>
                <w:b/>
                <w:sz w:val="24"/>
                <w:szCs w:val="24"/>
              </w:rPr>
              <w:t xml:space="preserve">1214</w:t>
            </w:r>
            <w:r>
              <w:rPr>
                <w:rFonts w:ascii="Times New Roman" w:hAnsi="Times New Roman" w:eastAsia="仿宋_GB2312" w:cs="仿宋_GB2312"/>
                <w:b/>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丹东金沅矿产有限公司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凤城市金龙耐火材料有限公司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丹东海润矿业有限公司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丹东金山矿产有限公司（原春林矿产）</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丹东兴科矿业有限公司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丹东志科矿产有限公司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丹东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凤城市乾丰矿业有限公司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海城镁矿学校耐火材料厂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海城市广金源氧化镁制造有限公司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海城市国田矿业有限公司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海城市环菱镁制品制造有限公司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海城市铭伦镁制品制造有限公司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海城市牌楼镇光大石粉厂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海城市牌楼镇金堡石粉厂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海城市牌楼镇荣威菱镁厂（海城市牌楼镇海盛菱镁厂）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海城市正晨矿产品制造有限公司（海城市海马轻烧镁厂）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海城市环宇轻烧镁厂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海城市美菱氧化镁厂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20</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海城市鼎晟矿业有限公司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海城市昌德镁质材料厂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海城市旭东洋矿产品有限公司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海城市牌楼镇发达矿业有限公司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海城市牌楼镇宏达轻烧镁厂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海城市谦源耐火材料有限公司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海城市鑫泰冶金炉料制造有限公司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海城市牌楼镇中兴轻烧镁厂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海城镁矿亨通轻烧镁厂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海城圣鼎源矿业有限公司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海城市盛贵耐火材料有限公司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海城市金沙矿业有限公司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海城市石粉二厂有限公司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海城市海英高级耐火材料有限公司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海城市银峰镁制品有限公司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海城东方</w:t>
            </w:r>
            <w:r>
              <w:rPr>
                <w:rFonts w:hint="eastAsia" w:ascii="Times New Roman" w:hAnsi="Times New Roman" w:eastAsia="宋体" w:cs="宋体"/>
                <w:sz w:val="24"/>
                <w:szCs w:val="24"/>
              </w:rPr>
              <w:t xml:space="preserve">炘</w:t>
            </w:r>
            <w:r>
              <w:rPr>
                <w:rStyle w:val="733"/>
                <w:rFonts w:hint="default"/>
                <w:szCs w:val="24"/>
              </w:rPr>
              <w:t xml:space="preserve">镁耐火材料有限公司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海城市兴邦菱镁厂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海城市牌楼镇海狮轻烧镁厂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海城市华丰镁业矿产品有限公司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海城屹弘冶金炉料制造有限公司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海城市宏达耐火材料有限公司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海城市荣利镁矿有限公司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20</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海城东格镁业有限公司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海城市嘉祥矿产品制造有限公司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海城市牌楼镇兴源镁制品厂（海城镁矿耐火材料总厂菱镁厂）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海城市晟镁耐火材料有限公司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海城兴富镁业有限公司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海城镁矿集团有限公司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海城市峰驰耐火材料总公司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海城市翔远耐火材料制造有限公司（翔远）</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海城市荣富耐火材料有限公司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海城三星矿业有限公司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海城市广岭耐火材料制造有限公司（辽宁华益镁业有限公司）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海城市鑫胜镁制品有限公司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海城市鑫泰矿产品轻烧镁厂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海城市雪峰镁业有限公司（原环菱析木分厂）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海城市亿达耐火材料有限公司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海城市华圣耐火材料有限公司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辽宁天盛镁业有限公司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海城市后英科进耐火材料有限公司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海城市后英耐火材料有限公司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海城市嘉成矿业有限公司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海城市腾龙矿业有限公司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海城市英落镇银兴耐火材料厂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海城宝山镁业有限公司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海城市瑞益耐火材料制造有限公司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海城市祥程矿业有限公司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海城市后英龙兴产业有限公司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海城市凯煦镁质材料有限公司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海城市中进镁砂厂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海城市紫光新镁科技有限公司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海城</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后英集团海城市环保科技有限公司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岫岩满族自治县呈美奇镁制品厂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岫岩满族自治县富源矿业有限公司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岫岩满族自治县富万鑫矿业有限公司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岫岩满族自治县鞍岫第一镁砂矿</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岫岩满族自治县第二镁砂矿</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岫岩满族自治县合力矿业有限公司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岫岩满族自治县亿营镁制品有限公司分公司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岫岩满族自治县达利矿业有限公司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鞍山</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岫岩满族自治县堂来矿业有限公司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营口南楼经济开发区玉宇耐火材料厂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大石桥市南楼经济开发区天马镁质材料厂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大石桥市群森科技材料有限公司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大石桥市镁都矿产品有限公司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大石桥市中兴菱镁材料有限公司（原名：中旺）</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营口鑫</w:t>
            </w:r>
            <w:r>
              <w:rPr>
                <w:rFonts w:hint="eastAsia" w:ascii="Times New Roman" w:hAnsi="Times New Roman" w:eastAsia="宋体" w:cs="宋体"/>
                <w:sz w:val="24"/>
                <w:szCs w:val="24"/>
              </w:rPr>
              <w:t xml:space="preserve">垚</w:t>
            </w:r>
            <w:r>
              <w:rPr>
                <w:rStyle w:val="733"/>
                <w:rFonts w:hint="default"/>
                <w:szCs w:val="24"/>
              </w:rPr>
              <w:t xml:space="preserve">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大石桥市宏运耐火材料有限公司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大石桥市茂盛冶金炉料厂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大石桥王家同城镁料厂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营口高鑫镁业有限公司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营口福扬耐火材料有限公司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营口洪峰耐火材料有限公司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营口南楼经济开发区维芳矿产品有限公司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大石桥市德昌耐火材料厂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营口南楼经济开发区曹官广建菱镁厂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营口方晨耐火材料有限公司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营口向洋耐火有限公司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营口南楼经济开发区桂鑫耐火材料厂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营口宏达菱镁制品有限公司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辽宁镁基新型材料有限公司（现名营口镁年晨耐火材料有限公司）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营口弘胜耐火有限公司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营口南楼经济开发区洪铭镁质材料厂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营口南楼恒运耐火材料厂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大石桥市飞达菱镁材料有限公司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营口丰翌镁业有限公司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营口仁恒镁业有限公司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营口春谊镁业有限公司（原大石桥市冠中镁制品厂）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营口南楼开发区三星耐火材料厂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大石桥市南楼开发区利群镁粉厂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109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营口赛鼎耐火材料有限公司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营口磊旋耐火材料有限公司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大石桥市圣兴耐火材料有限公司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营口南楼经济开发区越强镁质材料厂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营口瑞立菱镁制品有限公司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营口南楼艳芬菱镁制品厂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营口博大炉料有限公司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营口南楼经济开发区广宇镁质材料厂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营口南楼经济开发区煦兴镁制品厂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营口南楼经济开发区茂胜轻烧粉厂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119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营口宏森耐火材料有限公司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大石桥市陈家白云灰厂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营口富疆耐火材料有限公司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营口博程菱镁厂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w:t>
            </w:r>
            <w:r>
              <w:rPr>
                <w:rFonts w:hint="eastAsia" w:ascii="Times New Roman" w:hAnsi="Times New Roman" w:eastAsia="宋体" w:cs="宋体"/>
                <w:sz w:val="24"/>
                <w:szCs w:val="24"/>
              </w:rPr>
              <w:t xml:space="preserve">垚燚</w:t>
            </w:r>
            <w:r>
              <w:rPr>
                <w:rStyle w:val="733"/>
                <w:rFonts w:hint="default"/>
                <w:szCs w:val="24"/>
              </w:rPr>
              <w:t xml:space="preserve">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营口鑫茂盛耐火材料有限公司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营口南楼开发区兴华镁粉厂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营口南楼开发区旭日菱镁厂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营口昕洲镁质材料有限公司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营口南楼经济开发区兴旺矿粉厂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129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w:t>
            </w:r>
            <w:r>
              <w:rPr>
                <w:rFonts w:hint="eastAsia" w:ascii="Times New Roman" w:hAnsi="Times New Roman" w:eastAsia="宋体" w:cs="宋体"/>
                <w:sz w:val="24"/>
                <w:szCs w:val="24"/>
              </w:rPr>
              <w:t xml:space="preserve">垚</w:t>
            </w:r>
            <w:r>
              <w:rPr>
                <w:rStyle w:val="733"/>
                <w:rFonts w:hint="default"/>
                <w:szCs w:val="24"/>
              </w:rPr>
              <w:t xml:space="preserve">森菱镁厂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营口南楼开发区宝库镁质材料厂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大石桥市明星镁质材料厂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大石桥市工农菱镁制品厂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大石桥市宏利轻烧粉厂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大石桥市南楼宏兴轻烧粉厂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营口南楼经济开发区运丰泰耐火材料厂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营口南楼宏宇轻烧粉厂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大石桥市工农氧化镁质厂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大石桥市兴隆菱镁镁粉厂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139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营口南楼天邦镁粉厂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营口南楼经济开发区通达轻烧粉厂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大石桥市高庄菱镁材料加工厂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营口南楼经济开发区东晨耐火材料有限公司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营口南楼经济开发区高庄威鼎菱镁厂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营口春海耐火材料有限公司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营口富迪耐火材料有限公司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9</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营口春铖耐火材料有限公司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营口南楼圣深耐火材料厂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营口南楼经济开发区艺通镁制品厂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营口新宇荣耐火材料有限公司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营口南地耐火材料有限公司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营口南楼新亚耐火材料厂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营口南楼经济开发区佳兴镁质材料厂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大石桥市南楼秀春矿产品加工厂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营口南楼经济开发区欣航镁制品厂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营口金德耐火材料有限公司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营口南楼经济开发区鑫伦耐火材料厂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营口南楼经济开发区兴旺氧化镁厂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营口南楼鑫欣镁质材料厂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159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营口南楼经济开发区高庄荣华石粉厂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营口鑫伟耐火材料有限公司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营口南楼经济开发区万源耐火材料厂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大石桥市高庄菱镁烧结厂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营口和润耐火材料有限公司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大石桥市利民轻烧镁厂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营口南楼经济开发区万利耐火材料厂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营口天利嘉耐火材料有限公司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营口南楼鑫新耐火材料有限公司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大石桥市凯宏耐火材料厂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169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大石桥市南楼永胜建材厂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营口南楼经济开发区虹鉴菱镁厂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营口南楼经济开发区威泰耐火材料厂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营口大泽镁业有限公司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营口久丰镁质品材料有限公司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7</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营口南楼兴旭耐火材料厂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5</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营口山旺耐火材料有限公司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营口南楼经济开发区久和耐火材料厂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营口波海菱镁材料有限公司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营口久弘耐火材料有限公司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179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营口南楼经济开发区利盛耐火材料厂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营口南楼经济开发区弘晨菱镁耐火材料厂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营口南楼经济开发区达丰耐火材料有限公司（更名为营口隆丰耐火材料有限公司）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营口南楼经济开发区慧海耐火材料厂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营口南楼隆兴耐火材料厂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184</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大石桥市昌盛菱镁加工厂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185</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大石桥市大岭旭日滑石粉厂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186</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大石桥市永丰耐火材料厂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187</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大石桥市源宸耐火材料有限公司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3</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188</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大石桥市昌盛镁业有限公司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189</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辽宁飞达矿产品有限公司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14</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190</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大石桥兴源镁制品有限公司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6</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191</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大石桥市同发耐火材料有限公司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8</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192</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大石桥市远峰耐火材料有限公司</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w:t>
            </w:r>
            <w:r>
              <w:rPr>
                <w:rFonts w:ascii="Times New Roman" w:hAnsi="Times New Roman" w:eastAsia="仿宋_GB2312" w:cs="仿宋_GB2312"/>
                <w:sz w:val="24"/>
              </w:rPr>
            </w:r>
          </w:p>
        </w:tc>
      </w:tr>
      <w:tr>
        <w:trPr>
          <w:cantSplit/>
          <w:jc w:val="center"/>
          <w:trHeight w:val="567"/>
        </w:trPr>
        <w:tc>
          <w:tcPr>
            <w:shd w:val="clear" w:color="auto" w:fill="ffffff"/>
            <w:tcBorders>
              <w:top w:val="single" w:color="000000" w:sz="4" w:space="0"/>
              <w:left w:val="single" w:color="000000" w:sz="4" w:space="0"/>
              <w:bottom w:val="single" w:color="000000" w:sz="4" w:space="0"/>
              <w:right w:val="single" w:color="000000" w:sz="4" w:space="0"/>
            </w:tcBorders>
            <w:tcW w:w="855"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193</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营口</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081"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5145" w:type="dxa"/>
            <w:vAlign w:val="center"/>
            <w:textDirection w:val="lrTb"/>
            <w:noWrap w:val="false"/>
          </w:tcPr>
          <w:p>
            <w:pPr>
              <w:widowControl w:val="true"/>
              <w:pBdr/>
              <w:spacing/>
              <w:ind/>
              <w:jc w:val="left"/>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大石桥市胜春矿产品加工厂</w:t>
            </w:r>
            <w:r>
              <w:rPr>
                <w:rFonts w:ascii="Times New Roman" w:hAnsi="Times New Roman" w:eastAsia="仿宋_GB2312" w:cs="仿宋_GB2312"/>
                <w:sz w:val="24"/>
              </w:rPr>
            </w:r>
          </w:p>
        </w:tc>
        <w:tc>
          <w:tcPr>
            <w:shd w:val="clear" w:color="auto" w:fill="ffffff"/>
            <w:tcBorders>
              <w:top w:val="single" w:color="000000" w:sz="4" w:space="0"/>
              <w:left w:val="single" w:color="000000" w:sz="4" w:space="0"/>
              <w:bottom w:val="single" w:color="000000" w:sz="4" w:space="0"/>
              <w:right w:val="single" w:color="000000" w:sz="4" w:space="0"/>
            </w:tcBorders>
            <w:tcW w:w="1649" w:type="dxa"/>
            <w:vAlign w:val="center"/>
            <w:textDirection w:val="lrTb"/>
            <w:noWrap w:val="false"/>
          </w:tcPr>
          <w:p>
            <w:pPr>
              <w:widowControl w:val="true"/>
              <w:pBdr/>
              <w:spacing/>
              <w:ind/>
              <w:jc w:val="center"/>
              <w:rPr>
                <w:rFonts w:ascii="Times New Roman" w:hAnsi="Times New Roman" w:eastAsia="仿宋_GB2312" w:cs="仿宋_GB2312"/>
                <w:sz w:val="24"/>
              </w:rPr>
            </w:pPr>
            <w:r>
              <w:rPr>
                <w:rFonts w:hint="eastAsia" w:ascii="Times New Roman" w:hAnsi="Times New Roman" w:eastAsia="仿宋_GB2312" w:cs="仿宋_GB2312"/>
                <w:sz w:val="24"/>
                <w:szCs w:val="24"/>
              </w:rPr>
              <w:t xml:space="preserve">2</w:t>
            </w:r>
            <w:r>
              <w:rPr>
                <w:rFonts w:ascii="Times New Roman" w:hAnsi="Times New Roman" w:eastAsia="仿宋_GB2312" w:cs="仿宋_GB2312"/>
                <w:sz w:val="24"/>
              </w:rPr>
            </w:r>
          </w:p>
        </w:tc>
      </w:tr>
    </w:tbl>
    <w:p>
      <w:pPr>
        <w:pBdr/>
        <w:spacing w:line="660" w:lineRule="exact"/>
        <w:ind/>
        <w:jc w:val="left"/>
        <w:rPr>
          <w:rFonts w:ascii="Times New Roman" w:hAnsi="Times New Roman" w:eastAsia="仿宋_GB2312" w:cs="仿宋_GB2312"/>
          <w:sz w:val="24"/>
        </w:rPr>
      </w:pPr>
      <w:r>
        <w:rPr>
          <w:rFonts w:ascii="Times New Roman" w:hAnsi="Times New Roman" w:eastAsia="仿宋_GB2312" w:cs="仿宋_GB2312"/>
          <w:sz w:val="24"/>
        </w:rPr>
      </w:r>
      <w:r>
        <w:rPr>
          <w:rFonts w:ascii="Times New Roman" w:hAnsi="Times New Roman" w:eastAsia="仿宋_GB2312" w:cs="仿宋_GB2312"/>
          <w:sz w:val="24"/>
        </w:rPr>
      </w:r>
    </w:p>
    <w:p>
      <w:pPr>
        <w:pBdr/>
        <w:tabs>
          <w:tab w:val="left" w:leader="none" w:pos="720"/>
        </w:tabs>
        <w:spacing w:line="660" w:lineRule="exact"/>
        <w:ind w:firstLine="720"/>
        <w:contextualSpacing w:val="true"/>
        <w:rPr>
          <w:rFonts w:ascii="楷体" w:hAnsi="楷体" w:eastAsia="楷体" w:cs="楷体"/>
          <w:sz w:val="36"/>
          <w:szCs w:val="36"/>
        </w:rPr>
      </w:pPr>
      <w:r>
        <w:rPr>
          <w:rFonts w:ascii="楷体" w:hAnsi="楷体" w:eastAsia="楷体" w:cs="楷体"/>
          <w:sz w:val="36"/>
          <w:szCs w:val="36"/>
        </w:rPr>
      </w:r>
      <w:r>
        <w:rPr>
          <w:rFonts w:ascii="楷体" w:hAnsi="楷体" w:eastAsia="楷体" w:cs="楷体"/>
          <w:sz w:val="36"/>
          <w:szCs w:val="36"/>
        </w:rPr>
      </w:r>
    </w:p>
    <w:p>
      <w:pPr>
        <w:pBdr/>
        <w:spacing w:line="660" w:lineRule="exact"/>
        <w:ind w:firstLine="720"/>
        <w:rPr>
          <w:rFonts w:ascii="Times New Roman" w:hAnsi="Times New Roman" w:eastAsia="仿宋_GB2312" w:cs="Times New Roman"/>
          <w:sz w:val="36"/>
          <w:szCs w:val="36"/>
        </w:rPr>
      </w:pPr>
      <w:r>
        <w:rPr>
          <w:rFonts w:ascii="Times New Roman" w:hAnsi="Times New Roman" w:eastAsia="仿宋_GB2312" w:cs="Times New Roman"/>
          <w:sz w:val="36"/>
          <w:szCs w:val="36"/>
        </w:rPr>
      </w:r>
      <w:r>
        <w:rPr>
          <w:rFonts w:ascii="Times New Roman" w:hAnsi="Times New Roman" w:eastAsia="仿宋_GB2312" w:cs="Times New Roman"/>
          <w:sz w:val="36"/>
          <w:szCs w:val="36"/>
        </w:rPr>
      </w:r>
    </w:p>
    <w:sectPr>
      <w:footerReference w:type="default" r:id="rId9"/>
      <w:footnotePr/>
      <w:endnotePr/>
      <w:type w:val="nextPage"/>
      <w:pgSz w:h="16838" w:orient="landscape" w:w="11906"/>
      <w:pgMar w:top="1985" w:right="1797" w:bottom="1701" w:left="1797"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大标宋简体">
    <w:panose1 w:val="03000509000000000000"/>
  </w:font>
  <w:font w:name="楷体">
    <w:panose1 w:val="02010609060101010101"/>
  </w:font>
  <w:font w:name="楷体_GB2312">
    <w:panose1 w:val="02010609030101010101"/>
  </w:font>
  <w:font w:name="仿宋">
    <w:panose1 w:val="02010609060101010101"/>
  </w:font>
  <w:font w:name="仿宋_GB2312">
    <w:panose1 w:val="02010609030101010101"/>
  </w:font>
  <w:font w:name="方正小标宋简体">
    <w:panose1 w:val="03000509000000000000"/>
  </w:font>
  <w:font w:name="黑体">
    <w:panose1 w:val="02010609060101010101"/>
  </w:font>
  <w:font w:name="Times New Roman">
    <w:panose1 w:val="02020603050405020304"/>
  </w:font>
  <w:font w:name="??_GB2312">
    <w:panose1 w:val="020B0604020202020204"/>
  </w:font>
  <w:font w:name="Times">
    <w:panose1 w:val="02020603050405020304"/>
  </w:font>
  <w:font w:name="宋体">
    <w:panose1 w:val="02010600030101010101"/>
  </w:font>
  <w:font w:name="Arial">
    <w:panose1 w:val="020B0604020202020204"/>
  </w:font>
  <w:font w:name="Calibri">
    <w:panose1 w:val="020F0502020204030204"/>
  </w:font>
  <w:font w:name="等线">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52648515"/>
      <w:rPr/>
    </w:sdtPr>
    <w:sdtContent>
      <w:p>
        <w:pPr>
          <w:pStyle w:val="712"/>
          <w:pBdr/>
          <w:spacing/>
          <w:ind/>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 xml:space="preserve">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r>
      </w:p>
    </w:sdtContent>
  </w:sdt>
  <w:p>
    <w:pPr>
      <w:pStyle w:val="71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2"/>
      <w:pBdr/>
      <w:spacing/>
      <w:ind/>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 xml:space="preserve">37</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w:t>
    </w:r>
    <w:r>
      <w:rPr>
        <w:rFonts w:ascii="Times New Roman" w:hAnsi="Times New Roman" w:cs="Times New Roman"/>
        <w:sz w:val="24"/>
        <w:szCs w:val="24"/>
      </w:rPr>
    </w:r>
    <w:r>
      <w:rPr>
        <w:rFonts w:ascii="Times New Roman" w:hAnsi="Times New Roman" w:cs="Times New Roman"/>
        <w:sz w:val="24"/>
        <w:szCs w:val="24"/>
      </w:rPr>
    </w:r>
  </w:p>
  <w:p>
    <w:pPr>
      <w:pStyle w:val="71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02"/>
    <w:link w:val="701"/>
    <w:uiPriority w:val="9"/>
    <w:pPr>
      <w:pBdr/>
      <w:spacing/>
      <w:ind/>
    </w:pPr>
    <w:rPr>
      <w:rFonts w:ascii="等线" w:hAnsi="等线" w:eastAsia="等线" w:cs="等线"/>
      <w:sz w:val="40"/>
      <w:szCs w:val="40"/>
    </w:rPr>
  </w:style>
  <w:style w:type="paragraph" w:styleId="15">
    <w:name w:val="Heading 2"/>
    <w:basedOn w:val="700"/>
    <w:next w:val="70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702"/>
    <w:link w:val="15"/>
    <w:uiPriority w:val="9"/>
    <w:pPr>
      <w:pBdr/>
      <w:spacing/>
      <w:ind/>
    </w:pPr>
    <w:rPr>
      <w:rFonts w:ascii="等线" w:hAnsi="等线" w:eastAsia="等线" w:cs="等线"/>
      <w:sz w:val="34"/>
    </w:rPr>
  </w:style>
  <w:style w:type="paragraph" w:styleId="17">
    <w:name w:val="Heading 3"/>
    <w:basedOn w:val="700"/>
    <w:next w:val="70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02"/>
    <w:link w:val="17"/>
    <w:uiPriority w:val="9"/>
    <w:pPr>
      <w:pBdr/>
      <w:spacing/>
      <w:ind/>
    </w:pPr>
    <w:rPr>
      <w:rFonts w:ascii="等线" w:hAnsi="等线" w:eastAsia="等线" w:cs="等线"/>
      <w:sz w:val="30"/>
      <w:szCs w:val="30"/>
    </w:rPr>
  </w:style>
  <w:style w:type="paragraph" w:styleId="19">
    <w:name w:val="Heading 4"/>
    <w:basedOn w:val="700"/>
    <w:next w:val="70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02"/>
    <w:link w:val="19"/>
    <w:uiPriority w:val="9"/>
    <w:pPr>
      <w:pBdr/>
      <w:spacing/>
      <w:ind/>
    </w:pPr>
    <w:rPr>
      <w:rFonts w:ascii="等线" w:hAnsi="等线" w:eastAsia="等线" w:cs="等线"/>
      <w:b/>
      <w:bCs/>
      <w:sz w:val="26"/>
      <w:szCs w:val="26"/>
    </w:rPr>
  </w:style>
  <w:style w:type="paragraph" w:styleId="21">
    <w:name w:val="Heading 5"/>
    <w:basedOn w:val="700"/>
    <w:next w:val="70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02"/>
    <w:link w:val="21"/>
    <w:uiPriority w:val="9"/>
    <w:pPr>
      <w:pBdr/>
      <w:spacing/>
      <w:ind/>
    </w:pPr>
    <w:rPr>
      <w:rFonts w:ascii="等线" w:hAnsi="等线" w:eastAsia="等线" w:cs="等线"/>
      <w:b/>
      <w:bCs/>
      <w:sz w:val="24"/>
      <w:szCs w:val="24"/>
    </w:rPr>
  </w:style>
  <w:style w:type="paragraph" w:styleId="23">
    <w:name w:val="Heading 6"/>
    <w:basedOn w:val="700"/>
    <w:next w:val="70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02"/>
    <w:link w:val="23"/>
    <w:uiPriority w:val="9"/>
    <w:pPr>
      <w:pBdr/>
      <w:spacing/>
      <w:ind/>
    </w:pPr>
    <w:rPr>
      <w:rFonts w:ascii="等线" w:hAnsi="等线" w:eastAsia="等线" w:cs="等线"/>
      <w:b/>
      <w:bCs/>
      <w:sz w:val="22"/>
      <w:szCs w:val="22"/>
    </w:rPr>
  </w:style>
  <w:style w:type="paragraph" w:styleId="25">
    <w:name w:val="Heading 7"/>
    <w:basedOn w:val="700"/>
    <w:next w:val="70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02"/>
    <w:link w:val="25"/>
    <w:uiPriority w:val="9"/>
    <w:pPr>
      <w:pBdr/>
      <w:spacing/>
      <w:ind/>
    </w:pPr>
    <w:rPr>
      <w:rFonts w:ascii="等线" w:hAnsi="等线" w:eastAsia="等线" w:cs="等线"/>
      <w:b/>
      <w:bCs/>
      <w:i/>
      <w:iCs/>
      <w:sz w:val="22"/>
      <w:szCs w:val="22"/>
    </w:rPr>
  </w:style>
  <w:style w:type="paragraph" w:styleId="27">
    <w:name w:val="Heading 8"/>
    <w:basedOn w:val="700"/>
    <w:next w:val="70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02"/>
    <w:link w:val="27"/>
    <w:uiPriority w:val="9"/>
    <w:pPr>
      <w:pBdr/>
      <w:spacing/>
      <w:ind/>
    </w:pPr>
    <w:rPr>
      <w:rFonts w:ascii="等线" w:hAnsi="等线" w:eastAsia="等线" w:cs="等线"/>
      <w:i/>
      <w:iCs/>
      <w:sz w:val="22"/>
      <w:szCs w:val="22"/>
    </w:rPr>
  </w:style>
  <w:style w:type="paragraph" w:styleId="29">
    <w:name w:val="Heading 9"/>
    <w:basedOn w:val="700"/>
    <w:next w:val="70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02"/>
    <w:link w:val="29"/>
    <w:uiPriority w:val="9"/>
    <w:pPr>
      <w:pBdr/>
      <w:spacing/>
      <w:ind/>
    </w:pPr>
    <w:rPr>
      <w:rFonts w:ascii="等线" w:hAnsi="等线" w:eastAsia="等线" w:cs="等线"/>
      <w:i/>
      <w:iCs/>
      <w:sz w:val="21"/>
      <w:szCs w:val="21"/>
    </w:rPr>
  </w:style>
  <w:style w:type="paragraph" w:styleId="31">
    <w:name w:val="List Paragraph"/>
    <w:basedOn w:val="700"/>
    <w:uiPriority w:val="34"/>
    <w:qFormat/>
    <w:pPr>
      <w:pBdr/>
      <w:spacing/>
      <w:ind w:left="720"/>
      <w:contextualSpacing w:val="true"/>
    </w:pPr>
  </w:style>
  <w:style w:type="paragraph" w:styleId="34">
    <w:name w:val="Title"/>
    <w:basedOn w:val="700"/>
    <w:next w:val="700"/>
    <w:link w:val="35"/>
    <w:uiPriority w:val="10"/>
    <w:qFormat/>
    <w:pPr>
      <w:pBdr/>
      <w:spacing w:after="200" w:before="300"/>
      <w:ind/>
      <w:contextualSpacing w:val="true"/>
    </w:pPr>
    <w:rPr>
      <w:sz w:val="48"/>
      <w:szCs w:val="48"/>
    </w:rPr>
  </w:style>
  <w:style w:type="character" w:styleId="35">
    <w:name w:val="Title Char"/>
    <w:basedOn w:val="702"/>
    <w:link w:val="34"/>
    <w:uiPriority w:val="10"/>
    <w:pPr>
      <w:pBdr/>
      <w:spacing/>
      <w:ind/>
    </w:pPr>
    <w:rPr>
      <w:sz w:val="48"/>
      <w:szCs w:val="48"/>
    </w:rPr>
  </w:style>
  <w:style w:type="paragraph" w:styleId="36">
    <w:name w:val="Subtitle"/>
    <w:basedOn w:val="700"/>
    <w:next w:val="700"/>
    <w:link w:val="37"/>
    <w:uiPriority w:val="11"/>
    <w:qFormat/>
    <w:pPr>
      <w:pBdr/>
      <w:spacing w:after="200" w:before="200"/>
      <w:ind/>
    </w:pPr>
    <w:rPr>
      <w:sz w:val="24"/>
      <w:szCs w:val="24"/>
    </w:rPr>
  </w:style>
  <w:style w:type="character" w:styleId="37">
    <w:name w:val="Subtitle Char"/>
    <w:basedOn w:val="702"/>
    <w:link w:val="36"/>
    <w:uiPriority w:val="11"/>
    <w:pPr>
      <w:pBdr/>
      <w:spacing/>
      <w:ind/>
    </w:pPr>
    <w:rPr>
      <w:sz w:val="24"/>
      <w:szCs w:val="24"/>
    </w:rPr>
  </w:style>
  <w:style w:type="paragraph" w:styleId="38">
    <w:name w:val="Quote"/>
    <w:basedOn w:val="700"/>
    <w:next w:val="70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00"/>
    <w:next w:val="70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02"/>
    <w:link w:val="713"/>
    <w:uiPriority w:val="99"/>
    <w:pPr>
      <w:pBdr/>
      <w:spacing/>
      <w:ind/>
    </w:pPr>
  </w:style>
  <w:style w:type="character" w:styleId="45">
    <w:name w:val="Footer Char"/>
    <w:basedOn w:val="702"/>
    <w:link w:val="712"/>
    <w:uiPriority w:val="99"/>
    <w:pPr>
      <w:pBdr/>
      <w:spacing/>
      <w:ind/>
    </w:pPr>
  </w:style>
  <w:style w:type="paragraph" w:styleId="46">
    <w:name w:val="Caption"/>
    <w:basedOn w:val="700"/>
    <w:next w:val="700"/>
    <w:uiPriority w:val="35"/>
    <w:semiHidden/>
    <w:unhideWhenUsed/>
    <w:qFormat/>
    <w:pPr>
      <w:pBdr/>
      <w:spacing w:line="276" w:lineRule="auto"/>
      <w:ind/>
    </w:pPr>
    <w:rPr>
      <w:b/>
      <w:bCs/>
      <w:color w:val="4f81bd" w:themeColor="accent1"/>
      <w:sz w:val="18"/>
      <w:szCs w:val="18"/>
    </w:rPr>
  </w:style>
  <w:style w:type="character" w:styleId="47">
    <w:name w:val="Caption Char"/>
    <w:basedOn w:val="46"/>
    <w:link w:val="712"/>
    <w:uiPriority w:val="99"/>
    <w:pPr>
      <w:pBdr/>
      <w:spacing/>
      <w:ind/>
    </w:pPr>
  </w:style>
  <w:style w:type="table" w:styleId="49">
    <w:name w:val="Table Grid Light"/>
    <w:basedOn w:val="7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0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7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7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7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7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7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0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02"/>
    <w:uiPriority w:val="99"/>
    <w:unhideWhenUsed/>
    <w:pPr>
      <w:pBdr/>
      <w:spacing/>
      <w:ind/>
    </w:pPr>
    <w:rPr>
      <w:vertAlign w:val="superscript"/>
    </w:rPr>
  </w:style>
  <w:style w:type="paragraph" w:styleId="178">
    <w:name w:val="endnote text"/>
    <w:basedOn w:val="70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02"/>
    <w:uiPriority w:val="99"/>
    <w:semiHidden/>
    <w:unhideWhenUsed/>
    <w:pPr>
      <w:pBdr/>
      <w:spacing/>
      <w:ind/>
    </w:pPr>
    <w:rPr>
      <w:vertAlign w:val="superscript"/>
    </w:rPr>
  </w:style>
  <w:style w:type="paragraph" w:styleId="181">
    <w:name w:val="toc 1"/>
    <w:basedOn w:val="700"/>
    <w:next w:val="700"/>
    <w:uiPriority w:val="39"/>
    <w:unhideWhenUsed/>
    <w:pPr>
      <w:pBdr/>
      <w:spacing w:after="57"/>
      <w:ind w:right="0" w:firstLine="0" w:left="0"/>
    </w:pPr>
  </w:style>
  <w:style w:type="paragraph" w:styleId="182">
    <w:name w:val="toc 2"/>
    <w:basedOn w:val="700"/>
    <w:next w:val="700"/>
    <w:uiPriority w:val="39"/>
    <w:unhideWhenUsed/>
    <w:pPr>
      <w:pBdr/>
      <w:spacing w:after="57"/>
      <w:ind w:right="0" w:firstLine="0" w:left="283"/>
    </w:pPr>
  </w:style>
  <w:style w:type="paragraph" w:styleId="183">
    <w:name w:val="toc 3"/>
    <w:basedOn w:val="700"/>
    <w:next w:val="700"/>
    <w:uiPriority w:val="39"/>
    <w:unhideWhenUsed/>
    <w:pPr>
      <w:pBdr/>
      <w:spacing w:after="57"/>
      <w:ind w:right="0" w:firstLine="0" w:left="567"/>
    </w:pPr>
  </w:style>
  <w:style w:type="paragraph" w:styleId="184">
    <w:name w:val="toc 4"/>
    <w:basedOn w:val="700"/>
    <w:next w:val="700"/>
    <w:uiPriority w:val="39"/>
    <w:unhideWhenUsed/>
    <w:pPr>
      <w:pBdr/>
      <w:spacing w:after="57"/>
      <w:ind w:right="0" w:firstLine="0" w:left="850"/>
    </w:pPr>
  </w:style>
  <w:style w:type="paragraph" w:styleId="185">
    <w:name w:val="toc 5"/>
    <w:basedOn w:val="700"/>
    <w:next w:val="700"/>
    <w:uiPriority w:val="39"/>
    <w:unhideWhenUsed/>
    <w:pPr>
      <w:pBdr/>
      <w:spacing w:after="57"/>
      <w:ind w:right="0" w:firstLine="0" w:left="1134"/>
    </w:pPr>
  </w:style>
  <w:style w:type="paragraph" w:styleId="186">
    <w:name w:val="toc 6"/>
    <w:basedOn w:val="700"/>
    <w:next w:val="700"/>
    <w:uiPriority w:val="39"/>
    <w:unhideWhenUsed/>
    <w:pPr>
      <w:pBdr/>
      <w:spacing w:after="57"/>
      <w:ind w:right="0" w:firstLine="0" w:left="1417"/>
    </w:pPr>
  </w:style>
  <w:style w:type="paragraph" w:styleId="187">
    <w:name w:val="toc 7"/>
    <w:basedOn w:val="700"/>
    <w:next w:val="700"/>
    <w:uiPriority w:val="39"/>
    <w:unhideWhenUsed/>
    <w:pPr>
      <w:pBdr/>
      <w:spacing w:after="57"/>
      <w:ind w:right="0" w:firstLine="0" w:left="1701"/>
    </w:pPr>
  </w:style>
  <w:style w:type="paragraph" w:styleId="188">
    <w:name w:val="toc 8"/>
    <w:basedOn w:val="700"/>
    <w:next w:val="700"/>
    <w:uiPriority w:val="39"/>
    <w:unhideWhenUsed/>
    <w:pPr>
      <w:pBdr/>
      <w:spacing w:after="57"/>
      <w:ind w:right="0" w:firstLine="0" w:left="1984"/>
    </w:pPr>
  </w:style>
  <w:style w:type="paragraph" w:styleId="189">
    <w:name w:val="toc 9"/>
    <w:basedOn w:val="700"/>
    <w:next w:val="70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00"/>
    <w:next w:val="700"/>
    <w:uiPriority w:val="99"/>
    <w:unhideWhenUsed/>
    <w:pPr>
      <w:pBdr/>
      <w:spacing w:after="0" w:afterAutospacing="0"/>
      <w:ind/>
    </w:pPr>
  </w:style>
  <w:style w:type="paragraph" w:styleId="700" w:default="1">
    <w:name w:val="Normal"/>
    <w:next w:val="705"/>
    <w:qFormat/>
    <w:pPr>
      <w:widowControl w:val="false"/>
      <w:pBdr/>
      <w:spacing/>
      <w:ind/>
      <w:jc w:val="both"/>
    </w:pPr>
    <w:rPr>
      <w:sz w:val="21"/>
      <w:szCs w:val="22"/>
    </w:rPr>
  </w:style>
  <w:style w:type="paragraph" w:styleId="701">
    <w:name w:val="Heading 1"/>
    <w:basedOn w:val="700"/>
    <w:next w:val="700"/>
    <w:link w:val="721"/>
    <w:qFormat/>
    <w:pPr>
      <w:widowControl w:val="true"/>
      <w:pBdr/>
      <w:spacing w:after="100" w:afterAutospacing="1" w:before="100" w:beforeAutospacing="1"/>
      <w:ind/>
      <w:jc w:val="left"/>
      <w:outlineLvl w:val="0"/>
    </w:pPr>
    <w:rPr>
      <w:rFonts w:ascii="宋体" w:hAnsi="宋体" w:eastAsia="宋体" w:cs="宋体"/>
      <w:b/>
      <w:bCs/>
      <w:sz w:val="48"/>
      <w:szCs w:val="48"/>
    </w:rPr>
  </w:style>
  <w:style w:type="character" w:styleId="702" w:default="1">
    <w:name w:val="Default Paragraph Font"/>
    <w:uiPriority w:val="1"/>
    <w:semiHidden/>
    <w:unhideWhenUsed/>
    <w:pPr>
      <w:pBdr/>
      <w:spacing/>
      <w:ind/>
    </w:pPr>
  </w:style>
  <w:style w:type="table" w:styleId="703"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4" w:default="1">
    <w:name w:val="No List"/>
    <w:uiPriority w:val="99"/>
    <w:semiHidden/>
    <w:unhideWhenUsed/>
    <w:pPr>
      <w:pBdr/>
      <w:spacing/>
      <w:ind/>
    </w:pPr>
  </w:style>
  <w:style w:type="paragraph" w:styleId="705">
    <w:name w:val="Body Text"/>
    <w:basedOn w:val="700"/>
    <w:next w:val="706"/>
    <w:link w:val="724"/>
    <w:qFormat/>
    <w:pPr>
      <w:pBdr/>
      <w:spacing/>
      <w:ind/>
      <w:jc w:val="center"/>
    </w:pPr>
    <w:rPr>
      <w:rFonts w:ascii="Times New Roman" w:hAnsi="Times New Roman" w:eastAsia="Times"/>
      <w:sz w:val="24"/>
      <w:szCs w:val="48"/>
    </w:rPr>
  </w:style>
  <w:style w:type="paragraph" w:styleId="706">
    <w:name w:val="annotation text"/>
    <w:basedOn w:val="700"/>
    <w:next w:val="700"/>
    <w:qFormat/>
    <w:pPr>
      <w:pBdr/>
      <w:spacing/>
      <w:ind w:firstLine="3584"/>
    </w:pPr>
  </w:style>
  <w:style w:type="paragraph" w:styleId="707">
    <w:name w:val="Body Text Indent"/>
    <w:basedOn w:val="700"/>
    <w:next w:val="708"/>
    <w:link w:val="723"/>
    <w:qFormat/>
    <w:pPr>
      <w:pBdr/>
      <w:spacing w:after="120"/>
      <w:ind w:left="420"/>
    </w:pPr>
    <w:rPr>
      <w:szCs w:val="24"/>
    </w:rPr>
  </w:style>
  <w:style w:type="paragraph" w:styleId="708">
    <w:name w:val="Normal (Web)"/>
    <w:basedOn w:val="700"/>
    <w:qFormat/>
    <w:pPr>
      <w:widowControl w:val="true"/>
      <w:pBdr/>
      <w:spacing w:after="100" w:afterAutospacing="1" w:before="100" w:beforeAutospacing="1"/>
      <w:ind/>
      <w:jc w:val="left"/>
    </w:pPr>
    <w:rPr>
      <w:rFonts w:ascii="宋体" w:hAnsi="宋体" w:cs="宋体"/>
      <w:sz w:val="24"/>
    </w:rPr>
  </w:style>
  <w:style w:type="paragraph" w:styleId="709">
    <w:name w:val="Block Text"/>
    <w:basedOn w:val="700"/>
    <w:qFormat/>
    <w:pPr>
      <w:pBdr/>
      <w:spacing/>
      <w:ind/>
    </w:pPr>
    <w:rPr>
      <w:rFonts w:ascii="Calibri" w:hAnsi="Calibri" w:eastAsia="宋体" w:cs="Times New Roman"/>
      <w:szCs w:val="24"/>
    </w:rPr>
  </w:style>
  <w:style w:type="paragraph" w:styleId="710">
    <w:name w:val="Date"/>
    <w:basedOn w:val="700"/>
    <w:next w:val="700"/>
    <w:link w:val="720"/>
    <w:uiPriority w:val="99"/>
    <w:semiHidden/>
    <w:unhideWhenUsed/>
    <w:qFormat/>
    <w:pPr>
      <w:pBdr/>
      <w:spacing/>
      <w:ind w:left="100"/>
    </w:pPr>
  </w:style>
  <w:style w:type="paragraph" w:styleId="711">
    <w:name w:val="Balloon Text"/>
    <w:basedOn w:val="700"/>
    <w:link w:val="722"/>
    <w:uiPriority w:val="99"/>
    <w:semiHidden/>
    <w:unhideWhenUsed/>
    <w:qFormat/>
    <w:pPr>
      <w:pBdr/>
      <w:spacing/>
      <w:ind/>
    </w:pPr>
    <w:rPr>
      <w:sz w:val="18"/>
      <w:szCs w:val="18"/>
    </w:rPr>
  </w:style>
  <w:style w:type="paragraph" w:styleId="712">
    <w:name w:val="Footer"/>
    <w:basedOn w:val="700"/>
    <w:link w:val="719"/>
    <w:uiPriority w:val="99"/>
    <w:unhideWhenUsed/>
    <w:qFormat/>
    <w:pPr>
      <w:pBdr/>
      <w:tabs>
        <w:tab w:val="center" w:leader="none" w:pos="4153"/>
        <w:tab w:val="right" w:leader="none" w:pos="8306"/>
      </w:tabs>
      <w:spacing/>
      <w:ind/>
      <w:jc w:val="left"/>
    </w:pPr>
    <w:rPr>
      <w:sz w:val="18"/>
      <w:szCs w:val="18"/>
    </w:rPr>
  </w:style>
  <w:style w:type="paragraph" w:styleId="713">
    <w:name w:val="Header"/>
    <w:basedOn w:val="700"/>
    <w:link w:val="718"/>
    <w:unhideWhenUsed/>
    <w:qFormat/>
    <w:pPr>
      <w:pBdr>
        <w:bottom w:val="single" w:color="000000" w:sz="6" w:space="1"/>
      </w:pBdr>
      <w:tabs>
        <w:tab w:val="center" w:leader="none" w:pos="4153"/>
        <w:tab w:val="right" w:leader="none" w:pos="8306"/>
      </w:tabs>
      <w:spacing/>
      <w:ind/>
      <w:jc w:val="center"/>
    </w:pPr>
    <w:rPr>
      <w:sz w:val="18"/>
      <w:szCs w:val="18"/>
    </w:rPr>
  </w:style>
  <w:style w:type="paragraph" w:styleId="714">
    <w:name w:val="Body Text First Indent"/>
    <w:basedOn w:val="705"/>
    <w:link w:val="725"/>
    <w:qFormat/>
    <w:pPr>
      <w:pBdr/>
      <w:spacing/>
      <w:ind w:firstLine="632"/>
    </w:pPr>
  </w:style>
  <w:style w:type="paragraph" w:styleId="715">
    <w:name w:val="Body Text First Indent 2"/>
    <w:basedOn w:val="707"/>
    <w:next w:val="714"/>
    <w:link w:val="726"/>
    <w:qFormat/>
    <w:pPr>
      <w:pBdr/>
      <w:spacing/>
      <w:ind w:firstLine="420" w:left="0"/>
    </w:pPr>
    <w:rPr>
      <w:rFonts w:ascii="??_GB2312" w:hAnsi="Times New Roman" w:eastAsia="Times New Roman" w:cs="??_GB2312"/>
      <w:sz w:val="32"/>
      <w:szCs w:val="32"/>
    </w:rPr>
  </w:style>
  <w:style w:type="table" w:styleId="716">
    <w:name w:val="Table Grid"/>
    <w:basedOn w:val="703"/>
    <w:qFormat/>
    <w:pPr>
      <w:widowControl w:val="false"/>
      <w:pBdr/>
      <w:spacing/>
      <w:ind/>
      <w:jc w:val="both"/>
    </w:pPr>
    <w:rPr>
      <w:rFonts w:ascii="Times New Roman" w:hAnsi="Times New Roman" w:eastAsia="宋体"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17">
    <w:name w:val="Hyperlink"/>
    <w:basedOn w:val="702"/>
    <w:qFormat/>
    <w:pPr>
      <w:pBdr/>
      <w:spacing/>
      <w:ind/>
    </w:pPr>
    <w:rPr>
      <w:color w:val="0000ff"/>
      <w:u w:val="single"/>
    </w:rPr>
  </w:style>
  <w:style w:type="character" w:styleId="718" w:customStyle="1">
    <w:name w:val="页眉 Char"/>
    <w:basedOn w:val="702"/>
    <w:link w:val="713"/>
    <w:uiPriority w:val="99"/>
    <w:qFormat/>
    <w:pPr>
      <w:pBdr/>
      <w:spacing/>
      <w:ind/>
    </w:pPr>
    <w:rPr>
      <w:sz w:val="18"/>
      <w:szCs w:val="18"/>
    </w:rPr>
  </w:style>
  <w:style w:type="character" w:styleId="719" w:customStyle="1">
    <w:name w:val="页脚 Char"/>
    <w:basedOn w:val="702"/>
    <w:link w:val="712"/>
    <w:uiPriority w:val="99"/>
    <w:qFormat/>
    <w:pPr>
      <w:pBdr/>
      <w:spacing/>
      <w:ind/>
    </w:pPr>
    <w:rPr>
      <w:sz w:val="18"/>
      <w:szCs w:val="18"/>
    </w:rPr>
  </w:style>
  <w:style w:type="character" w:styleId="720" w:customStyle="1">
    <w:name w:val="日期 Char"/>
    <w:basedOn w:val="702"/>
    <w:link w:val="710"/>
    <w:uiPriority w:val="99"/>
    <w:semiHidden/>
    <w:qFormat/>
    <w:pPr>
      <w:pBdr/>
      <w:spacing/>
      <w:ind/>
    </w:pPr>
    <w:rPr>
      <w:sz w:val="21"/>
      <w:szCs w:val="22"/>
    </w:rPr>
  </w:style>
  <w:style w:type="character" w:styleId="721" w:customStyle="1">
    <w:name w:val="标题 1 Char"/>
    <w:basedOn w:val="702"/>
    <w:link w:val="701"/>
    <w:qFormat/>
    <w:pPr>
      <w:pBdr/>
      <w:spacing/>
      <w:ind/>
    </w:pPr>
    <w:rPr>
      <w:rFonts w:ascii="宋体" w:hAnsi="宋体" w:eastAsia="宋体" w:cs="宋体"/>
      <w:b/>
      <w:bCs/>
      <w:sz w:val="48"/>
      <w:szCs w:val="48"/>
    </w:rPr>
  </w:style>
  <w:style w:type="character" w:styleId="722" w:customStyle="1">
    <w:name w:val="批注框文本 Char"/>
    <w:basedOn w:val="702"/>
    <w:link w:val="711"/>
    <w:uiPriority w:val="99"/>
    <w:semiHidden/>
    <w:qFormat/>
    <w:pPr>
      <w:pBdr/>
      <w:spacing/>
      <w:ind/>
    </w:pPr>
    <w:rPr>
      <w:sz w:val="18"/>
      <w:szCs w:val="18"/>
    </w:rPr>
  </w:style>
  <w:style w:type="character" w:styleId="723" w:customStyle="1">
    <w:name w:val="正文文本缩进 Char"/>
    <w:basedOn w:val="702"/>
    <w:link w:val="707"/>
    <w:qFormat/>
    <w:pPr>
      <w:pBdr/>
      <w:spacing/>
      <w:ind/>
    </w:pPr>
    <w:rPr>
      <w:sz w:val="21"/>
      <w:szCs w:val="24"/>
    </w:rPr>
  </w:style>
  <w:style w:type="character" w:styleId="724" w:customStyle="1">
    <w:name w:val="正文文本 Char"/>
    <w:basedOn w:val="702"/>
    <w:link w:val="705"/>
    <w:qFormat/>
    <w:pPr>
      <w:pBdr/>
      <w:spacing/>
      <w:ind/>
    </w:pPr>
    <w:rPr>
      <w:rFonts w:ascii="Times New Roman" w:hAnsi="Times New Roman" w:eastAsia="Times"/>
      <w:sz w:val="24"/>
      <w:szCs w:val="48"/>
    </w:rPr>
  </w:style>
  <w:style w:type="character" w:styleId="725" w:customStyle="1">
    <w:name w:val="正文首行缩进 Char"/>
    <w:basedOn w:val="724"/>
    <w:link w:val="714"/>
    <w:qFormat/>
    <w:pPr>
      <w:pBdr/>
      <w:spacing/>
      <w:ind/>
    </w:pPr>
    <w:rPr>
      <w:rFonts w:ascii="Times New Roman" w:hAnsi="Times New Roman" w:eastAsia="Times"/>
      <w:sz w:val="24"/>
      <w:szCs w:val="48"/>
    </w:rPr>
  </w:style>
  <w:style w:type="character" w:styleId="726" w:customStyle="1">
    <w:name w:val="正文首行缩进 2 Char"/>
    <w:basedOn w:val="723"/>
    <w:link w:val="715"/>
    <w:qFormat/>
    <w:pPr>
      <w:pBdr/>
      <w:spacing/>
      <w:ind/>
    </w:pPr>
    <w:rPr>
      <w:rFonts w:ascii="??_GB2312" w:hAnsi="Times New Roman" w:eastAsia="Times New Roman" w:cs="??_GB2312"/>
      <w:sz w:val="32"/>
      <w:szCs w:val="32"/>
    </w:rPr>
  </w:style>
  <w:style w:type="character" w:styleId="727" w:customStyle="1">
    <w:name w:val="font71"/>
    <w:basedOn w:val="702"/>
    <w:qFormat/>
    <w:pPr>
      <w:pBdr/>
      <w:spacing/>
      <w:ind/>
    </w:pPr>
    <w:rPr>
      <w:rFonts w:hint="eastAsia" w:ascii="黑体" w:hAnsi="宋体" w:eastAsia="黑体" w:cs="黑体"/>
      <w:color w:val="000000"/>
      <w:sz w:val="36"/>
      <w:szCs w:val="36"/>
      <w:u w:val="none"/>
    </w:rPr>
  </w:style>
  <w:style w:type="character" w:styleId="728" w:customStyle="1">
    <w:name w:val="font51"/>
    <w:basedOn w:val="702"/>
    <w:qFormat/>
    <w:pPr>
      <w:pBdr/>
      <w:spacing/>
      <w:ind/>
    </w:pPr>
    <w:rPr>
      <w:rFonts w:hint="default" w:ascii="Times New Roman" w:hAnsi="Times New Roman" w:cs="Times New Roman"/>
      <w:color w:val="000000"/>
      <w:sz w:val="36"/>
      <w:szCs w:val="36"/>
      <w:u w:val="none"/>
    </w:rPr>
  </w:style>
  <w:style w:type="character" w:styleId="729" w:customStyle="1">
    <w:name w:val="font21"/>
    <w:basedOn w:val="702"/>
    <w:qFormat/>
    <w:pPr>
      <w:pBdr/>
      <w:spacing/>
      <w:ind/>
    </w:pPr>
    <w:rPr>
      <w:rFonts w:hint="eastAsia" w:ascii="方正小标宋简体" w:hAnsi="方正小标宋简体" w:eastAsia="方正小标宋简体" w:cs="方正小标宋简体"/>
      <w:color w:val="000000"/>
      <w:sz w:val="48"/>
      <w:szCs w:val="48"/>
      <w:u w:val="none"/>
    </w:rPr>
  </w:style>
  <w:style w:type="character" w:styleId="730" w:customStyle="1">
    <w:name w:val="font31"/>
    <w:basedOn w:val="702"/>
    <w:qFormat/>
    <w:pPr>
      <w:pBdr/>
      <w:spacing/>
      <w:ind/>
    </w:pPr>
    <w:rPr>
      <w:rFonts w:hint="eastAsia" w:ascii="仿宋_GB2312" w:eastAsia="仿宋_GB2312" w:cs="仿宋_GB2312"/>
      <w:color w:val="000000"/>
      <w:sz w:val="20"/>
      <w:szCs w:val="20"/>
      <w:u w:val="none"/>
    </w:rPr>
  </w:style>
  <w:style w:type="character" w:styleId="731" w:customStyle="1">
    <w:name w:val="font41"/>
    <w:basedOn w:val="702"/>
    <w:qFormat/>
    <w:pPr>
      <w:pBdr/>
      <w:spacing/>
      <w:ind/>
    </w:pPr>
    <w:rPr>
      <w:rFonts w:hint="eastAsia" w:ascii="仿宋_GB2312" w:eastAsia="仿宋_GB2312" w:cs="仿宋_GB2312"/>
      <w:color w:val="000000"/>
      <w:sz w:val="20"/>
      <w:szCs w:val="20"/>
      <w:u w:val="none"/>
    </w:rPr>
  </w:style>
  <w:style w:type="character" w:styleId="732" w:customStyle="1">
    <w:name w:val="font61"/>
    <w:basedOn w:val="702"/>
    <w:qFormat/>
    <w:pPr>
      <w:pBdr/>
      <w:spacing/>
      <w:ind/>
    </w:pPr>
    <w:rPr>
      <w:rFonts w:hint="eastAsia" w:ascii="仿宋_GB2312" w:eastAsia="仿宋_GB2312" w:cs="仿宋_GB2312"/>
      <w:color w:val="000000"/>
      <w:sz w:val="20"/>
      <w:szCs w:val="20"/>
      <w:u w:val="none"/>
    </w:rPr>
  </w:style>
  <w:style w:type="character" w:styleId="733" w:customStyle="1">
    <w:name w:val="font11"/>
    <w:basedOn w:val="702"/>
    <w:qFormat/>
    <w:pPr>
      <w:pBdr/>
      <w:spacing/>
      <w:ind/>
    </w:pPr>
    <w:rPr>
      <w:rFonts w:hint="eastAsia" w:ascii="仿宋_GB2312" w:eastAsia="仿宋_GB2312" w:cs="仿宋_GB2312"/>
      <w:color w:val="000000"/>
      <w:sz w:val="28"/>
      <w:szCs w:val="28"/>
      <w:u w:val="none"/>
    </w:rPr>
  </w:style>
  <w:style w:type="paragraph" w:styleId="734">
    <w:name w:val="No Spacing"/>
    <w:uiPriority w:val="1"/>
    <w:qFormat/>
    <w:pPr>
      <w:widowControl w:val="false"/>
      <w:pBdr/>
      <w:spacing/>
      <w:ind/>
      <w:jc w:val="both"/>
    </w:pPr>
    <w:rPr>
      <w:rFonts w:ascii="Calibri" w:hAnsi="Calibri" w:eastAsia="宋体" w:cs="宋体"/>
      <w:sz w:val="21"/>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29</cp:revision>
  <dcterms:created xsi:type="dcterms:W3CDTF">2022-06-11T07:01:00Z</dcterms:created>
  <dcterms:modified xsi:type="dcterms:W3CDTF">2026-05-13T00:47:50Z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