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20" w:lineRule="exact"/>
        <w:jc w:val="left"/>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附件1</w:t>
      </w:r>
    </w:p>
    <w:p>
      <w:pPr>
        <w:widowControl/>
        <w:adjustRightInd w:val="0"/>
        <w:snapToGrid w:val="0"/>
        <w:spacing w:line="620" w:lineRule="exact"/>
        <w:jc w:val="left"/>
        <w:rPr>
          <w:rFonts w:ascii="Times New Roman" w:hAnsi="Times New Roman" w:eastAsia="黑体" w:cs="Times New Roman"/>
          <w:color w:val="000000"/>
          <w:kern w:val="0"/>
          <w:sz w:val="32"/>
          <w:szCs w:val="32"/>
        </w:rPr>
      </w:pPr>
    </w:p>
    <w:p>
      <w:pPr>
        <w:widowControl/>
        <w:adjustRightInd w:val="0"/>
        <w:snapToGrid w:val="0"/>
        <w:spacing w:line="620" w:lineRule="exact"/>
        <w:jc w:val="center"/>
        <w:rPr>
          <w:rFonts w:ascii="Times New Roman" w:hAnsi="Times New Roman" w:eastAsia="方正小标宋简体" w:cs="Times New Roman"/>
          <w:bCs/>
          <w:kern w:val="0"/>
          <w:sz w:val="44"/>
          <w:szCs w:val="44"/>
        </w:rPr>
      </w:pPr>
      <w:r>
        <w:rPr>
          <w:rFonts w:ascii="Times New Roman" w:hAnsi="Times New Roman" w:eastAsia="方正小标宋简体" w:cs="Times New Roman"/>
          <w:bCs/>
          <w:kern w:val="0"/>
          <w:sz w:val="44"/>
          <w:szCs w:val="44"/>
        </w:rPr>
        <w:t>辽宁省企业技术中心认定管理办法</w:t>
      </w:r>
    </w:p>
    <w:p>
      <w:pPr>
        <w:adjustRightInd w:val="0"/>
        <w:snapToGrid w:val="0"/>
        <w:spacing w:line="600" w:lineRule="exact"/>
        <w:jc w:val="center"/>
        <w:rPr>
          <w:rFonts w:ascii="Times New Roman" w:hAnsi="Times New Roman" w:eastAsia="黑体" w:cs="Times New Roman"/>
          <w:kern w:val="0"/>
          <w:sz w:val="32"/>
          <w:szCs w:val="32"/>
        </w:rPr>
      </w:pPr>
    </w:p>
    <w:p>
      <w:pPr>
        <w:adjustRightInd w:val="0"/>
        <w:snapToGrid w:val="0"/>
        <w:spacing w:before="156" w:beforeLines="50" w:after="156" w:afterLines="50" w:line="600" w:lineRule="exact"/>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第一章  总  则</w:t>
      </w:r>
    </w:p>
    <w:p>
      <w:pPr>
        <w:adjustRightInd w:val="0"/>
        <w:snapToGrid w:val="0"/>
        <w:spacing w:line="600" w:lineRule="exact"/>
        <w:ind w:firstLine="640" w:firstLineChars="200"/>
        <w:rPr>
          <w:rFonts w:ascii="Times New Roman" w:hAnsi="Times New Roman" w:eastAsia="方正仿宋_GBK" w:cs="Times New Roman"/>
          <w:sz w:val="32"/>
          <w:szCs w:val="32"/>
        </w:rPr>
      </w:pPr>
      <w:r>
        <w:rPr>
          <w:rFonts w:ascii="Times New Roman" w:hAnsi="Times New Roman" w:eastAsia="黑体" w:cs="Times New Roman"/>
          <w:kern w:val="0"/>
          <w:sz w:val="32"/>
          <w:szCs w:val="32"/>
        </w:rPr>
        <w:t>第一条</w:t>
      </w:r>
      <w:r>
        <w:rPr>
          <w:rFonts w:ascii="Times New Roman" w:hAnsi="Times New Roman" w:eastAsia="仿宋_GB2312" w:cs="Times New Roman"/>
          <w:sz w:val="32"/>
          <w:szCs w:val="32"/>
        </w:rPr>
        <w:t xml:space="preserve">  为引导和规范辽宁省企业技术中心（以下简称“企业技术中心”）建设发展，鼓励和支持企业提升技术创新能力，增强企业科技创新内生动力，推进科技创新和产业创新深度融合，培育发展新质生产力，根据《辽宁省企业技术中心建设方案》（辽科技委办发〔2026〕4号），制定本管理办法。</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第二条</w:t>
      </w:r>
      <w:r>
        <w:rPr>
          <w:rFonts w:ascii="Times New Roman" w:hAnsi="Times New Roman" w:eastAsia="仿宋_GB2312" w:cs="Times New Roman"/>
          <w:sz w:val="32"/>
          <w:szCs w:val="32"/>
        </w:rPr>
        <w:t xml:space="preserve">  本办法所称企业技术中心，是指企业根据市场竞争需要设立的技术研发与创新机构，负责制定企业科技创新规划、开展科学研究和产业技术研发、创造运用知识产权、建立技术标准体系、凝聚培养创新人才、构建协同创新网络、推进科技创新全过程实施。</w:t>
      </w:r>
    </w:p>
    <w:p>
      <w:pPr>
        <w:spacing w:line="600" w:lineRule="exact"/>
        <w:ind w:firstLine="640" w:firstLineChars="200"/>
        <w:rPr>
          <w:rFonts w:ascii="Times New Roman" w:hAnsi="Times New Roman" w:eastAsia="仿宋_GB2312" w:cs="Times New Roman"/>
          <w:dstrike/>
          <w:sz w:val="32"/>
          <w:szCs w:val="32"/>
        </w:rPr>
      </w:pPr>
      <w:r>
        <w:rPr>
          <w:rFonts w:ascii="Times New Roman" w:hAnsi="Times New Roman" w:eastAsia="黑体" w:cs="Times New Roman"/>
          <w:kern w:val="0"/>
          <w:sz w:val="32"/>
          <w:szCs w:val="32"/>
        </w:rPr>
        <w:t xml:space="preserve">第三条 </w:t>
      </w:r>
      <w:r>
        <w:rPr>
          <w:rFonts w:ascii="Times New Roman" w:hAnsi="Times New Roman" w:eastAsia="仿宋_GB2312" w:cs="Times New Roman"/>
          <w:sz w:val="32"/>
          <w:szCs w:val="32"/>
        </w:rPr>
        <w:t xml:space="preserve"> 辽宁省企业技术中心建设立足强化企业科技创新主体地位，健全企业主导产业技术创新的体系，围绕创新驱动发展、高质量发展要求及数字辽宁、智造强省战略目标，构建具有辽宁特色的“2211”产业体系，重点布局新兴支柱产业及未来产业的重点产业链。</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第四条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lang w:bidi="ar"/>
        </w:rPr>
        <w:t>按照中共辽宁省委科技委员会（以下简称</w:t>
      </w:r>
      <w:r>
        <w:rPr>
          <w:rFonts w:ascii="Times New Roman" w:hAnsi="Times New Roman" w:eastAsia="仿宋_GB2312" w:cs="Times New Roman"/>
          <w:kern w:val="0"/>
          <w:sz w:val="32"/>
          <w:szCs w:val="32"/>
        </w:rPr>
        <w:t>省委科技委</w:t>
      </w:r>
      <w:r>
        <w:rPr>
          <w:rFonts w:ascii="Times New Roman" w:hAnsi="Times New Roman" w:eastAsia="仿宋_GB2312" w:cs="Times New Roman"/>
          <w:kern w:val="0"/>
          <w:sz w:val="32"/>
          <w:szCs w:val="32"/>
          <w:lang w:bidi="ar"/>
        </w:rPr>
        <w:t>）及其办公室关于规范省级科技创新平台基地的工作部署要求，</w:t>
      </w:r>
      <w:r>
        <w:rPr>
          <w:rFonts w:ascii="Times New Roman" w:hAnsi="Times New Roman" w:eastAsia="仿宋_GB2312" w:cs="Times New Roman"/>
          <w:kern w:val="0"/>
          <w:sz w:val="32"/>
          <w:szCs w:val="32"/>
        </w:rPr>
        <w:t>省工业和信息化厅商省财政厅、省税务局负责指导协调省级企业技术中心相关工作</w:t>
      </w:r>
      <w:r>
        <w:rPr>
          <w:rFonts w:ascii="Times New Roman" w:hAnsi="Times New Roman" w:eastAsia="仿宋_GB2312" w:cs="Times New Roman"/>
          <w:sz w:val="32"/>
          <w:szCs w:val="32"/>
        </w:rPr>
        <w:t>。各部门结合职能支持省级企业技术中心发展，形成共同推进企业自主创新的良好机制。省工业和信息化厅牵头开展企业技术中心的认定与运行评价。</w:t>
      </w:r>
    </w:p>
    <w:p>
      <w:pPr>
        <w:adjustRightInd w:val="0"/>
        <w:snapToGrid w:val="0"/>
        <w:spacing w:before="156" w:beforeLines="50" w:after="156" w:afterLines="50" w:line="600" w:lineRule="exact"/>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第二章  企业技术中心认定</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第五条</w:t>
      </w:r>
      <w:r>
        <w:rPr>
          <w:rFonts w:ascii="Times New Roman" w:hAnsi="Times New Roman" w:eastAsia="仿宋_GB2312" w:cs="Times New Roman"/>
          <w:sz w:val="32"/>
          <w:szCs w:val="32"/>
        </w:rPr>
        <w:t xml:space="preserve">  辽宁省企业技术中心的认定，坚持总量控制、优中选优，原则上每年进行一次。各地市工业和信息化主管部门根据省工业和信息化厅通知要求组织推荐。</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第六条</w:t>
      </w:r>
      <w:r>
        <w:rPr>
          <w:rFonts w:ascii="Times New Roman" w:hAnsi="Times New Roman" w:eastAsia="仿宋_GB2312" w:cs="Times New Roman"/>
          <w:sz w:val="32"/>
          <w:szCs w:val="32"/>
        </w:rPr>
        <w:t xml:space="preserve">  辽宁省企业技术中心应当具备以下基本条件：</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（一）企业在辽宁省行政区域内登记注册，具有独立法人资格，有较强的经济实力和较好的经济效益。</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（二）企业在省内同行业中</w:t>
      </w:r>
      <w:r>
        <w:rPr>
          <w:rFonts w:ascii="Times New Roman" w:hAnsi="Times New Roman" w:eastAsia="仿宋_GB2312" w:cs="Times New Roman"/>
          <w:sz w:val="32"/>
          <w:szCs w:val="32"/>
        </w:rPr>
        <w:t>具有显著的发展优势和竞争优势，具有行业领先的科技创新能力和水平。</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（三）企业具有较好的科技创新机制，组织体系健全，</w:t>
      </w:r>
      <w:r>
        <w:rPr>
          <w:rFonts w:ascii="Times New Roman" w:hAnsi="Times New Roman" w:eastAsia="仿宋_GB2312" w:cs="Times New Roman"/>
          <w:kern w:val="0"/>
          <w:sz w:val="32"/>
          <w:szCs w:val="32"/>
        </w:rPr>
        <w:t>管理规范，发展规划和发展目标明确，</w:t>
      </w:r>
      <w:r>
        <w:rPr>
          <w:rFonts w:ascii="Times New Roman" w:hAnsi="Times New Roman" w:eastAsia="仿宋_GB2312" w:cs="Times New Roman"/>
          <w:sz w:val="32"/>
          <w:szCs w:val="32"/>
        </w:rPr>
        <w:t>具有较为完备的科技成果转化机制、产学研用协同机制，</w:t>
      </w:r>
      <w:r>
        <w:rPr>
          <w:rFonts w:ascii="Times New Roman" w:hAnsi="Times New Roman" w:eastAsia="仿宋_GB2312" w:cs="Times New Roman"/>
          <w:kern w:val="0"/>
          <w:sz w:val="32"/>
          <w:szCs w:val="32"/>
        </w:rPr>
        <w:t>知识产权管理水平较高，创新成果显著。</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（四）企业具有开展重大创新活动的组织机构和人员队伍，有较高的研究开发投入，拥有技术水平高、实践经验丰富的技术带头人，具有比较完善的研究、开发、试验条件，必须同时满足以下基本条件：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企业在行业中具有发展优势和竞争优势，具有行业领先的技术创新能力和水平，企业年营业收入不低于1亿元。战略性新兴产业领域企业年营业收入原则上不低于5000万元；未来产业领域企业年营业收入原则上不低于2000万元或市场估值不低于5000万元。</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2.企业具有较高的研究开发投入，年度</w:t>
      </w:r>
      <w:r>
        <w:rPr>
          <w:rFonts w:ascii="Times New Roman" w:hAnsi="Times New Roman" w:eastAsia="仿宋_GB2312" w:cs="Times New Roman"/>
          <w:sz w:val="32"/>
          <w:szCs w:val="32"/>
          <w:lang w:val="en"/>
        </w:rPr>
        <w:t>研究与试验发展经</w:t>
      </w:r>
      <w:r>
        <w:rPr>
          <w:rFonts w:ascii="Times New Roman" w:hAnsi="Times New Roman" w:eastAsia="仿宋_GB2312" w:cs="Times New Roman"/>
          <w:kern w:val="0"/>
          <w:sz w:val="32"/>
          <w:szCs w:val="32"/>
          <w:lang w:val="en"/>
        </w:rPr>
        <w:t>费支出额占营业收入比重不低于</w:t>
      </w:r>
      <w:r>
        <w:rPr>
          <w:rFonts w:ascii="Times New Roman" w:hAnsi="Times New Roman" w:eastAsia="仿宋_GB2312" w:cs="Times New Roman"/>
          <w:sz w:val="32"/>
          <w:szCs w:val="32"/>
        </w:rPr>
        <w:t>3.0%</w:t>
      </w:r>
      <w:r>
        <w:rPr>
          <w:rFonts w:ascii="Times New Roman" w:hAnsi="Times New Roman" w:eastAsia="仿宋_GB2312" w:cs="Times New Roman"/>
          <w:kern w:val="0"/>
          <w:sz w:val="32"/>
          <w:szCs w:val="32"/>
          <w:lang w:val="en"/>
        </w:rPr>
        <w:t>。</w:t>
      </w:r>
      <w:r>
        <w:rPr>
          <w:rFonts w:ascii="Times New Roman" w:hAnsi="Times New Roman" w:eastAsia="仿宋_GB2312" w:cs="Times New Roman"/>
          <w:sz w:val="32"/>
          <w:szCs w:val="32"/>
        </w:rPr>
        <w:t>战略性新兴产业领域企业</w:t>
      </w:r>
      <w:r>
        <w:rPr>
          <w:rFonts w:ascii="Times New Roman" w:hAnsi="Times New Roman" w:eastAsia="仿宋_GB2312" w:cs="Times New Roman"/>
          <w:kern w:val="0"/>
          <w:sz w:val="32"/>
          <w:szCs w:val="32"/>
        </w:rPr>
        <w:t>原则上</w:t>
      </w:r>
      <w:r>
        <w:rPr>
          <w:rFonts w:ascii="Times New Roman" w:hAnsi="Times New Roman" w:eastAsia="仿宋_GB2312" w:cs="Times New Roman"/>
          <w:kern w:val="0"/>
          <w:sz w:val="32"/>
          <w:szCs w:val="32"/>
          <w:lang w:val="en"/>
        </w:rPr>
        <w:t>不低于</w:t>
      </w:r>
      <w:r>
        <w:rPr>
          <w:rFonts w:ascii="Times New Roman" w:hAnsi="Times New Roman" w:eastAsia="仿宋_GB2312" w:cs="Times New Roman"/>
          <w:sz w:val="32"/>
          <w:szCs w:val="32"/>
        </w:rPr>
        <w:t>4.0%</w:t>
      </w:r>
      <w:r>
        <w:rPr>
          <w:rFonts w:ascii="Times New Roman" w:hAnsi="Times New Roman" w:eastAsia="仿宋_GB2312" w:cs="Times New Roman"/>
          <w:kern w:val="0"/>
          <w:sz w:val="32"/>
          <w:szCs w:val="32"/>
          <w:lang w:val="en"/>
        </w:rPr>
        <w:t>，</w:t>
      </w:r>
      <w:r>
        <w:rPr>
          <w:rFonts w:ascii="Times New Roman" w:hAnsi="Times New Roman" w:eastAsia="仿宋_GB2312" w:cs="Times New Roman"/>
          <w:kern w:val="0"/>
          <w:sz w:val="32"/>
          <w:szCs w:val="32"/>
        </w:rPr>
        <w:t>其中年营业收入超1亿元的</w:t>
      </w:r>
      <w:r>
        <w:rPr>
          <w:rFonts w:ascii="Times New Roman" w:hAnsi="Times New Roman" w:eastAsia="仿宋_GB2312" w:cs="Times New Roman"/>
          <w:sz w:val="32"/>
          <w:szCs w:val="32"/>
        </w:rPr>
        <w:t>战略性新兴产业领域企业</w:t>
      </w:r>
      <w:bookmarkStart w:id="0" w:name="OLE_LINK3"/>
      <w:r>
        <w:rPr>
          <w:rFonts w:ascii="Times New Roman" w:hAnsi="Times New Roman" w:eastAsia="仿宋_GB2312" w:cs="Times New Roman"/>
          <w:kern w:val="0"/>
          <w:sz w:val="32"/>
          <w:szCs w:val="32"/>
        </w:rPr>
        <w:t>原则上</w:t>
      </w:r>
      <w:r>
        <w:rPr>
          <w:rFonts w:ascii="Times New Roman" w:hAnsi="Times New Roman" w:eastAsia="仿宋_GB2312" w:cs="Times New Roman"/>
          <w:sz w:val="32"/>
          <w:szCs w:val="32"/>
        </w:rPr>
        <w:t>不低于3.0%</w:t>
      </w:r>
      <w:r>
        <w:rPr>
          <w:rFonts w:ascii="Times New Roman" w:hAnsi="Times New Roman" w:eastAsia="仿宋_GB2312" w:cs="Times New Roman"/>
          <w:kern w:val="0"/>
          <w:sz w:val="32"/>
          <w:szCs w:val="32"/>
          <w:lang w:val="en"/>
        </w:rPr>
        <w:t>；</w:t>
      </w:r>
      <w:bookmarkEnd w:id="0"/>
      <w:r>
        <w:rPr>
          <w:rFonts w:ascii="Times New Roman" w:hAnsi="Times New Roman" w:eastAsia="仿宋_GB2312" w:cs="Times New Roman"/>
          <w:kern w:val="0"/>
          <w:sz w:val="32"/>
          <w:szCs w:val="32"/>
          <w:lang w:val="en"/>
        </w:rPr>
        <w:t>未来产业领域企业</w:t>
      </w:r>
      <w:r>
        <w:rPr>
          <w:rFonts w:ascii="Times New Roman" w:hAnsi="Times New Roman" w:eastAsia="仿宋_GB2312" w:cs="Times New Roman"/>
          <w:kern w:val="0"/>
          <w:sz w:val="32"/>
          <w:szCs w:val="32"/>
        </w:rPr>
        <w:t>原则上</w:t>
      </w:r>
      <w:r>
        <w:rPr>
          <w:rFonts w:ascii="Times New Roman" w:hAnsi="Times New Roman" w:eastAsia="仿宋_GB2312" w:cs="Times New Roman"/>
          <w:kern w:val="0"/>
          <w:sz w:val="32"/>
          <w:szCs w:val="32"/>
          <w:lang w:val="en"/>
        </w:rPr>
        <w:t>不低于</w:t>
      </w:r>
      <w:r>
        <w:rPr>
          <w:rFonts w:ascii="Times New Roman" w:hAnsi="Times New Roman" w:eastAsia="仿宋_GB2312" w:cs="Times New Roman"/>
          <w:sz w:val="32"/>
          <w:szCs w:val="32"/>
        </w:rPr>
        <w:t>6.0%</w:t>
      </w:r>
      <w:r>
        <w:rPr>
          <w:rFonts w:ascii="Times New Roman" w:hAnsi="Times New Roman" w:eastAsia="仿宋_GB2312" w:cs="Times New Roman"/>
          <w:kern w:val="0"/>
          <w:sz w:val="32"/>
          <w:szCs w:val="32"/>
          <w:lang w:val="en"/>
        </w:rPr>
        <w:t>；营业收入超百亿元的企业</w:t>
      </w:r>
      <w:r>
        <w:rPr>
          <w:rFonts w:ascii="Times New Roman" w:hAnsi="Times New Roman" w:eastAsia="仿宋_GB2312" w:cs="Times New Roman"/>
          <w:kern w:val="0"/>
          <w:sz w:val="32"/>
          <w:szCs w:val="32"/>
        </w:rPr>
        <w:t>原则上</w:t>
      </w:r>
      <w:r>
        <w:rPr>
          <w:rFonts w:ascii="Times New Roman" w:hAnsi="Times New Roman" w:eastAsia="仿宋_GB2312" w:cs="Times New Roman"/>
          <w:kern w:val="0"/>
          <w:sz w:val="32"/>
          <w:szCs w:val="32"/>
          <w:lang w:val="en"/>
        </w:rPr>
        <w:t>不低于</w:t>
      </w:r>
      <w:r>
        <w:rPr>
          <w:rFonts w:ascii="Times New Roman" w:hAnsi="Times New Roman" w:eastAsia="仿宋_GB2312" w:cs="Times New Roman"/>
          <w:sz w:val="32"/>
          <w:szCs w:val="32"/>
        </w:rPr>
        <w:t>1.5%</w:t>
      </w:r>
      <w:r>
        <w:rPr>
          <w:rFonts w:ascii="Times New Roman" w:hAnsi="Times New Roman" w:eastAsia="仿宋_GB2312" w:cs="Times New Roman"/>
          <w:kern w:val="0"/>
          <w:sz w:val="32"/>
          <w:szCs w:val="32"/>
          <w:lang w:val="en"/>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3.企业配备相对稳定的固定研究与试验发展人员，固定研究与试验发展人员数不少于30人。</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bookmarkStart w:id="1" w:name="OLE_LINK4"/>
      <w:r>
        <w:rPr>
          <w:rFonts w:ascii="Times New Roman" w:hAnsi="Times New Roman" w:eastAsia="仿宋_GB2312" w:cs="Times New Roman"/>
          <w:sz w:val="32"/>
          <w:szCs w:val="32"/>
        </w:rPr>
        <w:t>企业具有比较完善的研究、开发、试验条件，技术开发仪器</w:t>
      </w:r>
      <w:bookmarkStart w:id="2" w:name="_Hlk223527999"/>
      <w:r>
        <w:rPr>
          <w:rFonts w:ascii="Times New Roman" w:hAnsi="Times New Roman" w:eastAsia="仿宋_GB2312" w:cs="Times New Roman"/>
          <w:sz w:val="32"/>
          <w:szCs w:val="32"/>
        </w:rPr>
        <w:t>设备原值</w:t>
      </w:r>
      <w:bookmarkEnd w:id="2"/>
      <w:r>
        <w:rPr>
          <w:rFonts w:ascii="Times New Roman" w:hAnsi="Times New Roman" w:eastAsia="仿宋_GB2312" w:cs="Times New Roman"/>
          <w:sz w:val="32"/>
          <w:szCs w:val="32"/>
        </w:rPr>
        <w:t>原则上不低于750万元，其中</w:t>
      </w:r>
      <w:bookmarkEnd w:id="1"/>
      <w:r>
        <w:rPr>
          <w:rFonts w:ascii="Times New Roman" w:hAnsi="Times New Roman" w:eastAsia="仿宋_GB2312" w:cs="Times New Roman"/>
          <w:sz w:val="32"/>
          <w:szCs w:val="32"/>
        </w:rPr>
        <w:t>未来产业及我省战略发展急需领域企业可不受此条件限制。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（五）具有较好的技术积累，重视前沿技术开发。</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（六）企业在申请受理截止日期前两年内，不得存在下列情况：</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1.因违反税收征管法及有关法律、行政法规，被确定为重大税收违法失信主体；</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2.司法、行政机关认定的严重违法失信行为；</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3.由于企业技术或管理原因发生重大质量、生产安全、环境安全事故。</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kern w:val="0"/>
          <w:sz w:val="32"/>
          <w:szCs w:val="32"/>
        </w:rPr>
        <w:t>第七条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省级企业技术中心认定程序：</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（一）省级企业技术中心申请企业，应根据本办法及省工业和信息化厅发布的当年申报通知要求编写申请材料，并向所在</w:t>
      </w:r>
      <w:bookmarkStart w:id="3" w:name="OLE_LINK7"/>
      <w:r>
        <w:rPr>
          <w:rFonts w:ascii="Times New Roman" w:hAnsi="Times New Roman" w:eastAsia="仿宋_GB2312" w:cs="Times New Roman"/>
          <w:kern w:val="0"/>
          <w:sz w:val="32"/>
          <w:szCs w:val="32"/>
        </w:rPr>
        <w:t>地市</w:t>
      </w:r>
      <w:bookmarkStart w:id="4" w:name="OLE_LINK8"/>
      <w:r>
        <w:rPr>
          <w:rFonts w:ascii="Times New Roman" w:hAnsi="Times New Roman" w:eastAsia="仿宋_GB2312" w:cs="Times New Roman"/>
          <w:kern w:val="0"/>
          <w:sz w:val="32"/>
          <w:szCs w:val="32"/>
        </w:rPr>
        <w:t>工业和信息化</w:t>
      </w:r>
      <w:bookmarkEnd w:id="4"/>
      <w:r>
        <w:rPr>
          <w:rFonts w:ascii="Times New Roman" w:hAnsi="Times New Roman" w:eastAsia="仿宋_GB2312" w:cs="Times New Roman"/>
          <w:kern w:val="0"/>
          <w:sz w:val="32"/>
          <w:szCs w:val="32"/>
        </w:rPr>
        <w:t>主管部门</w:t>
      </w:r>
      <w:bookmarkEnd w:id="3"/>
      <w:r>
        <w:rPr>
          <w:rFonts w:ascii="Times New Roman" w:hAnsi="Times New Roman" w:eastAsia="仿宋_GB2312" w:cs="Times New Roman"/>
          <w:kern w:val="0"/>
          <w:sz w:val="32"/>
          <w:szCs w:val="32"/>
        </w:rPr>
        <w:t>提交申请材料。</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申请材料主要包括企业技术中心申请报告、评价表及必要的证明材料，以及</w:t>
      </w:r>
      <w:bookmarkStart w:id="5" w:name="OLE_LINK9"/>
      <w:r>
        <w:rPr>
          <w:rFonts w:ascii="Times New Roman" w:hAnsi="Times New Roman" w:eastAsia="仿宋_GB2312" w:cs="Times New Roman"/>
          <w:kern w:val="0"/>
          <w:sz w:val="32"/>
          <w:szCs w:val="32"/>
        </w:rPr>
        <w:t>各地市工业和信息化主管部门</w:t>
      </w:r>
      <w:bookmarkEnd w:id="5"/>
      <w:r>
        <w:rPr>
          <w:rFonts w:ascii="Times New Roman" w:hAnsi="Times New Roman" w:eastAsia="仿宋_GB2312" w:cs="Times New Roman"/>
          <w:kern w:val="0"/>
          <w:sz w:val="32"/>
          <w:szCs w:val="32"/>
        </w:rPr>
        <w:t>关于所推荐企业技术中心是否存在司法、行政机关认定严重违法失信行为的说明。</w:t>
      </w:r>
    </w:p>
    <w:p>
      <w:pPr>
        <w:spacing w:line="600" w:lineRule="exact"/>
        <w:ind w:firstLine="640" w:firstLineChars="200"/>
        <w:rPr>
          <w:rFonts w:ascii="Times New Roman" w:hAnsi="Times New Roman" w:cs="Times New Roman"/>
        </w:rPr>
      </w:pPr>
      <w:r>
        <w:rPr>
          <w:rFonts w:ascii="Times New Roman" w:hAnsi="Times New Roman" w:eastAsia="仿宋_GB2312" w:cs="Times New Roman"/>
          <w:kern w:val="0"/>
          <w:sz w:val="32"/>
          <w:szCs w:val="32"/>
        </w:rPr>
        <w:t>（二）各地市工业和信息化主管部门对企业上报的申请材料进行审核后，根据本办法及当年省工业和信息化厅发布的通知要求报送省工业和信息化厅。</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（三）省工业和信息化厅依据省级企业技术中心评价指标体系对各地市推荐的企业技术中心申请材料进行初评。</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（四）依据初评结果，省工业和信息化厅商省财政厅、省税务局组织专家评审。</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（五）省工业和信息化厅商省财政厅、省税务局，根据专家评审意见以及产业政策、企业纳税情况等进行综合评估，择优确定辽宁省企业技术中心名单。</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kern w:val="0"/>
          <w:sz w:val="32"/>
          <w:szCs w:val="32"/>
        </w:rPr>
        <w:t>第八条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省工业和信息化厅对拟新建的辽宁省企业技术中心名单进行公示，公示无异议后印发批准文件，并报省委科技委办公室备案。批准设立的</w:t>
      </w:r>
      <w:r>
        <w:rPr>
          <w:rFonts w:ascii="Times New Roman" w:hAnsi="Times New Roman" w:eastAsia="仿宋_GB2312" w:cs="Times New Roman"/>
          <w:sz w:val="32"/>
          <w:szCs w:val="32"/>
        </w:rPr>
        <w:t>省级</w:t>
      </w:r>
      <w:r>
        <w:rPr>
          <w:rFonts w:ascii="Times New Roman" w:hAnsi="Times New Roman" w:eastAsia="仿宋_GB2312" w:cs="Times New Roman"/>
          <w:kern w:val="0"/>
          <w:sz w:val="32"/>
          <w:szCs w:val="32"/>
        </w:rPr>
        <w:t>企业技术中心按照省级科技创新平台基地的统一标识规范挂牌，并</w:t>
      </w:r>
      <w:r>
        <w:rPr>
          <w:rFonts w:ascii="Times New Roman" w:hAnsi="Times New Roman" w:eastAsia="仿宋_GB2312" w:cs="Times New Roman"/>
          <w:sz w:val="32"/>
          <w:szCs w:val="32"/>
        </w:rPr>
        <w:t>向各地市工业和信息化主管部门及同级管理部门通报认定结果。</w:t>
      </w:r>
    </w:p>
    <w:p>
      <w:pPr>
        <w:adjustRightInd w:val="0"/>
        <w:snapToGrid w:val="0"/>
        <w:spacing w:before="156" w:beforeLines="50" w:after="156" w:afterLines="50" w:line="600" w:lineRule="exact"/>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第三章  运行评价</w:t>
      </w:r>
    </w:p>
    <w:p>
      <w:pPr>
        <w:spacing w:line="600" w:lineRule="exact"/>
        <w:ind w:firstLine="640" w:firstLineChars="200"/>
        <w:rPr>
          <w:rFonts w:ascii="Times New Roman" w:hAnsi="Times New Roman" w:cs="Times New Roman"/>
        </w:rPr>
      </w:pPr>
      <w:r>
        <w:rPr>
          <w:rFonts w:ascii="Times New Roman" w:hAnsi="Times New Roman" w:eastAsia="黑体" w:cs="Times New Roman"/>
          <w:kern w:val="0"/>
          <w:sz w:val="32"/>
          <w:szCs w:val="32"/>
        </w:rPr>
        <w:t xml:space="preserve">第九条  </w:t>
      </w:r>
      <w:r>
        <w:rPr>
          <w:rFonts w:ascii="Times New Roman" w:hAnsi="Times New Roman" w:eastAsia="仿宋_GB2312" w:cs="Times New Roman"/>
          <w:sz w:val="32"/>
          <w:szCs w:val="32"/>
        </w:rPr>
        <w:t>省级企业技术中心实行动态调整的运行评价制度，省工业和信息化厅原则上每年组织一次省级企业技术中心运行评价。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各地市工业和信息化主管部门对企业技术中心评价材料真实性出具意见，并按照通知要求将评价材料报送省工业和信息化厅。</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评价材料主要包括企业技术中心工作总结、评价表及必要的证明材料，以及</w:t>
      </w:r>
      <w:r>
        <w:rPr>
          <w:rFonts w:ascii="Times New Roman" w:hAnsi="Times New Roman" w:eastAsia="仿宋_GB2312" w:cs="Times New Roman"/>
          <w:kern w:val="0"/>
          <w:sz w:val="32"/>
          <w:szCs w:val="32"/>
        </w:rPr>
        <w:t>各地市工业和信息化主管部门</w:t>
      </w:r>
      <w:r>
        <w:rPr>
          <w:rFonts w:ascii="Times New Roman" w:hAnsi="Times New Roman" w:eastAsia="仿宋_GB2312" w:cs="Times New Roman"/>
          <w:sz w:val="32"/>
          <w:szCs w:val="32"/>
        </w:rPr>
        <w:t>关于企业技术中心是否存在司法、行政机关认定严重违法失信行为的说明。</w:t>
      </w:r>
    </w:p>
    <w:p>
      <w:pPr>
        <w:spacing w:line="600" w:lineRule="exact"/>
        <w:ind w:firstLine="640" w:firstLineChars="200"/>
        <w:rPr>
          <w:rFonts w:ascii="Times New Roman" w:hAnsi="Times New Roman" w:eastAsia="仿宋_GB2312" w:cs="Times New Roman"/>
          <w:sz w:val="32"/>
          <w:szCs w:val="32"/>
          <w14:ligatures w14:val="standardContextual"/>
        </w:rPr>
      </w:pPr>
      <w:r>
        <w:rPr>
          <w:rFonts w:ascii="Times New Roman" w:hAnsi="Times New Roman" w:eastAsia="黑体" w:cs="Times New Roman"/>
          <w:bCs/>
          <w:kern w:val="0"/>
          <w:sz w:val="32"/>
          <w:szCs w:val="32"/>
        </w:rPr>
        <w:t>第十条</w:t>
      </w:r>
      <w:r>
        <w:rPr>
          <w:rFonts w:ascii="Times New Roman" w:hAnsi="Times New Roman" w:eastAsia="黑体" w:cs="Times New Roman"/>
          <w:b/>
          <w:bCs/>
          <w:kern w:val="0"/>
          <w:sz w:val="32"/>
          <w:szCs w:val="32"/>
        </w:rPr>
        <w:t xml:space="preserve">  </w:t>
      </w:r>
      <w:r>
        <w:rPr>
          <w:rFonts w:ascii="Times New Roman" w:hAnsi="Times New Roman" w:eastAsia="仿宋_GB2312" w:cs="Times New Roman"/>
          <w:sz w:val="32"/>
          <w:szCs w:val="32"/>
        </w:rPr>
        <w:t>省工业和信息化厅按照相关采购管理要求，委托具有专业能力的第三方机构，依据评价指标体系，对各地市工业和信息化主管部门报送的评价材料进行评价，并形成评价结果。其中，</w:t>
      </w:r>
      <w:r>
        <w:rPr>
          <w:rFonts w:ascii="Times New Roman" w:hAnsi="Times New Roman" w:eastAsia="仿宋_GB2312" w:cs="Times New Roman"/>
          <w:sz w:val="32"/>
          <w:szCs w:val="32"/>
          <w14:ligatures w14:val="standardContextual"/>
        </w:rPr>
        <w:t>第三方机构与被评价企业存在利害关系的须主动回避。</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bCs/>
          <w:kern w:val="0"/>
          <w:sz w:val="32"/>
          <w:szCs w:val="32"/>
        </w:rPr>
        <w:t>第十一条</w:t>
      </w:r>
      <w:r>
        <w:rPr>
          <w:rFonts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评价结果分为优秀、良好、基本合格和不合格：</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（一）评价得分90分及以上为优秀；</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（二）评价得分65分至90分（不含90分）为良好；</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（三）评价得分60分至65分（不含65分）为基本合格；</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（四）评价得分低于60分为不合格。</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 xml:space="preserve">第十二条  </w:t>
      </w:r>
      <w:r>
        <w:rPr>
          <w:rFonts w:ascii="Times New Roman" w:hAnsi="Times New Roman" w:eastAsia="仿宋_GB2312" w:cs="Times New Roman"/>
          <w:kern w:val="0"/>
          <w:sz w:val="32"/>
          <w:szCs w:val="32"/>
        </w:rPr>
        <w:t>省工业和信息化厅在受理评价材料之后及时完成评价工作，向各地市工业和信息化主管部门通报评价结果，</w:t>
      </w:r>
      <w:r>
        <w:rPr>
          <w:rFonts w:ascii="Times New Roman" w:hAnsi="Times New Roman" w:eastAsia="仿宋_GB2312" w:cs="Times New Roman"/>
          <w:sz w:val="32"/>
          <w:szCs w:val="32"/>
        </w:rPr>
        <w:t>并报省委科技委办公室备案。</w:t>
      </w:r>
    </w:p>
    <w:p>
      <w:pPr>
        <w:adjustRightInd w:val="0"/>
        <w:snapToGrid w:val="0"/>
        <w:spacing w:before="156" w:beforeLines="50" w:after="156" w:afterLines="50" w:line="600" w:lineRule="exact"/>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第四章  监督管理</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第十三条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各地市工业和信息化主管部门应随当年企业技术中心认定或评价工作，将企业技术中心所在企业发生更名、重组等变更情况报送省工业和信息化厅。</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kern w:val="0"/>
          <w:sz w:val="32"/>
          <w:szCs w:val="32"/>
        </w:rPr>
        <w:t>第十四条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省工业和信息化厅每年对各地市工业和信息化主管部门报送的企业变更情况进行确认。</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第十五条</w:t>
      </w:r>
      <w:r>
        <w:rPr>
          <w:rFonts w:ascii="Times New Roman" w:hAnsi="Times New Roman" w:eastAsia="仿宋_GB2312" w:cs="Times New Roman"/>
          <w:sz w:val="32"/>
          <w:szCs w:val="32"/>
        </w:rPr>
        <w:t xml:space="preserve">  有下列情况之一的，撤销企业技术中心资格，并报省委科技委办公室备案。</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（一）运行评价不合格；</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（二）逾期未报送评价材料；</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（三）提供虚假材料和数据；</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（四）主要由于技术原因发生重大质量、安全、环境污染事故；</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（五）因违反有关法律、行政法规，构成偷税、骗取出口退税等税收违法行为；</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（六）司法、行政机关认定的其他严重违法失信行为；</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（七）企业被依法终止。</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kern w:val="0"/>
          <w:sz w:val="32"/>
          <w:szCs w:val="32"/>
        </w:rPr>
        <w:t>第十六条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因本办法第十五条第（一）（二）项所列原因被撤销省级企业技术中心资格的，自撤销之日起，各地市工业和信息化主管部门两年内不得再次推荐该企业。</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因本办法第十五条第（三）至（六）项所列原因被撤销企业技术中心资格的，自撤销之日起，各地市工业和信息化主管部门三年内不得再次推荐该企业。</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各地市工业和信息化主管部门负责指导和督促评价基本合格的企业技术中心改进工作。</w:t>
      </w:r>
    </w:p>
    <w:p>
      <w:pPr>
        <w:numPr>
          <w:ilvl w:val="0"/>
          <w:numId w:val="1"/>
        </w:num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 省级企业技术中心撤销和更名结果，由省工业和信息化厅发文通报，与当年企业技术中心评价结果一并发布</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公布结果同时抄送省财政厅、省税务局。</w:t>
      </w:r>
    </w:p>
    <w:p>
      <w:pPr>
        <w:numPr>
          <w:ilvl w:val="0"/>
          <w:numId w:val="1"/>
        </w:num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企业及相关方对省级企业技术中心认定、评价、撤销等工作中的弄虚作假、程序违规、评审不公、失职渎职等行为，可向省工业和信息化厅投诉。</w:t>
      </w:r>
    </w:p>
    <w:p>
      <w:pPr>
        <w:numPr>
          <w:ilvl w:val="0"/>
          <w:numId w:val="1"/>
        </w:num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省工业和信息化厅科学技术处为投诉受理部门，通过书面、监督电话、电子邮件等方式受理投诉，并在30个工作日内将结果反馈投诉人。</w:t>
      </w:r>
    </w:p>
    <w:p>
      <w:pPr>
        <w:adjustRightInd w:val="0"/>
        <w:snapToGrid w:val="0"/>
        <w:spacing w:before="156" w:beforeLines="50" w:after="156" w:afterLines="50" w:line="600" w:lineRule="exact"/>
        <w:ind w:firstLine="420"/>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第五章  鼓励政策</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第二十条</w:t>
      </w:r>
      <w:r>
        <w:rPr>
          <w:rFonts w:ascii="Times New Roman" w:hAnsi="Times New Roman" w:eastAsia="仿宋_GB2312" w:cs="Times New Roman"/>
          <w:sz w:val="32"/>
          <w:szCs w:val="32"/>
        </w:rPr>
        <w:t xml:space="preserve">  省工业和信息化厅鼓励企业技术中心聚焦国家及辽宁省战略需求和产业创新发展需要开展技术研发，结合产业技术攻关、示范应用项目实施，对企业技术中心予以支持。</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 xml:space="preserve">第二十一条 </w:t>
      </w:r>
      <w:bookmarkStart w:id="6" w:name="_Hlk223528256"/>
      <w:bookmarkStart w:id="7" w:name="_Hlk223528273"/>
      <w:r>
        <w:rPr>
          <w:rFonts w:ascii="Times New Roman" w:hAnsi="Times New Roman" w:eastAsia="黑体" w:cs="Times New Roman"/>
          <w:kern w:val="0"/>
          <w:sz w:val="32"/>
          <w:szCs w:val="32"/>
        </w:rPr>
        <w:t xml:space="preserve"> </w:t>
      </w:r>
      <w:r>
        <w:rPr>
          <w:rFonts w:ascii="Times New Roman" w:hAnsi="Times New Roman" w:eastAsia="仿宋_GB2312" w:cs="Times New Roman"/>
          <w:kern w:val="0"/>
          <w:sz w:val="32"/>
          <w:szCs w:val="32"/>
        </w:rPr>
        <w:t>引导省发展新质生产力投资基金等重点</w:t>
      </w:r>
      <w:r>
        <w:rPr>
          <w:rFonts w:ascii="Times New Roman" w:hAnsi="Times New Roman" w:eastAsia="仿宋_GB2312" w:cs="Times New Roman"/>
          <w:spacing w:val="-6"/>
          <w:kern w:val="0"/>
          <w:sz w:val="32"/>
          <w:szCs w:val="32"/>
        </w:rPr>
        <w:t>投向省级企业技术中心</w:t>
      </w:r>
      <w:bookmarkEnd w:id="6"/>
      <w:r>
        <w:rPr>
          <w:rFonts w:ascii="Times New Roman" w:hAnsi="Times New Roman" w:eastAsia="仿宋_GB2312" w:cs="Times New Roman"/>
          <w:spacing w:val="-6"/>
          <w:kern w:val="0"/>
          <w:sz w:val="32"/>
          <w:szCs w:val="32"/>
        </w:rPr>
        <w:t>的关键核心技术研发和中试转化项目。</w:t>
      </w:r>
      <w:bookmarkEnd w:id="7"/>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第二十二条</w:t>
      </w:r>
      <w:r>
        <w:rPr>
          <w:rFonts w:ascii="Times New Roman" w:hAnsi="Times New Roman" w:eastAsia="仿宋_GB2312" w:cs="Times New Roman"/>
          <w:sz w:val="32"/>
          <w:szCs w:val="32"/>
        </w:rPr>
        <w:t xml:space="preserve">  省工业和信息化厅结合省级及以上科技创新平台基地组建，对评价为优秀的企业技术中心予以支持，并按照国家有关规定，择优推荐认定国家企业技术中心。</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第二十三条</w:t>
      </w:r>
      <w:r>
        <w:rPr>
          <w:rFonts w:ascii="Times New Roman" w:hAnsi="Times New Roman" w:eastAsia="仿宋_GB2312" w:cs="Times New Roman"/>
          <w:sz w:val="32"/>
          <w:szCs w:val="32"/>
        </w:rPr>
        <w:t xml:space="preserve">  省工业和信息化厅支持企业技术中心强化人才队伍建设，鼓励支持申报各类人才专项。</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第二十四条</w:t>
      </w:r>
      <w:r>
        <w:rPr>
          <w:rFonts w:ascii="Times New Roman" w:hAnsi="Times New Roman" w:eastAsia="仿宋_GB2312" w:cs="Times New Roman"/>
          <w:sz w:val="32"/>
          <w:szCs w:val="32"/>
        </w:rPr>
        <w:t xml:space="preserve">  鼓励各地市结合企业技术中心建设运行需求，在资金、土地、科研、人才等方面给予必要支持。</w:t>
      </w:r>
    </w:p>
    <w:p>
      <w:pPr>
        <w:adjustRightInd w:val="0"/>
        <w:snapToGrid w:val="0"/>
        <w:spacing w:before="156" w:beforeLines="50" w:after="156" w:afterLines="50" w:line="600" w:lineRule="exact"/>
        <w:jc w:val="center"/>
        <w:rPr>
          <w:rFonts w:ascii="Times New Roman" w:hAnsi="Times New Roman" w:eastAsia="黑体" w:cs="Times New Roman"/>
          <w:kern w:val="0"/>
          <w:sz w:val="32"/>
          <w:szCs w:val="32"/>
        </w:rPr>
      </w:pPr>
      <w:r>
        <w:rPr>
          <w:rFonts w:ascii="Times New Roman" w:hAnsi="Times New Roman" w:eastAsia="黑体" w:cs="Times New Roman"/>
          <w:kern w:val="0"/>
          <w:sz w:val="32"/>
          <w:szCs w:val="32"/>
        </w:rPr>
        <w:t>第六章  附则</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第二十五条</w:t>
      </w:r>
      <w:r>
        <w:rPr>
          <w:rFonts w:ascii="Times New Roman" w:hAnsi="Times New Roman" w:eastAsia="仿宋_GB2312" w:cs="Times New Roman"/>
          <w:sz w:val="32"/>
          <w:szCs w:val="32"/>
        </w:rPr>
        <w:t xml:space="preserve">  各地市工业和信息化主管部门可参考本办法，结合本地实际，在职责范围内制定相应政策和管理办法，开展市级企业技术中心的认定和评价工作，对企业技术中心建设给予相应支持。</w:t>
      </w:r>
    </w:p>
    <w:p>
      <w:pPr>
        <w:pStyle w:val="6"/>
        <w:spacing w:line="600" w:lineRule="exact"/>
        <w:jc w:val="both"/>
        <w:rPr>
          <w:rFonts w:eastAsia="仿宋_GB2312"/>
          <w:sz w:val="32"/>
          <w:szCs w:val="32"/>
        </w:rPr>
      </w:pPr>
      <w:r>
        <w:rPr>
          <w:rFonts w:eastAsia="黑体"/>
          <w:kern w:val="0"/>
          <w:sz w:val="32"/>
          <w:szCs w:val="32"/>
        </w:rPr>
        <w:t xml:space="preserve">    第二十六条  </w:t>
      </w:r>
      <w:r>
        <w:rPr>
          <w:rFonts w:eastAsia="仿宋_GB2312"/>
          <w:sz w:val="32"/>
          <w:szCs w:val="32"/>
          <w14:ligatures w14:val="standardContextual"/>
        </w:rPr>
        <w:t>省级企业技术中心成为国家发展改革委企业技术中心的，不再保留辽宁省企业技术中心牌子。</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第二十七条</w:t>
      </w:r>
      <w:r>
        <w:rPr>
          <w:rFonts w:ascii="Times New Roman" w:hAnsi="Times New Roman" w:eastAsia="仿宋_GB2312" w:cs="Times New Roman"/>
          <w:sz w:val="32"/>
          <w:szCs w:val="32"/>
        </w:rPr>
        <w:t xml:space="preserve">  依据《中华人民共和国政府信息公开条例》和《辽宁省政府信息公开规定》，企业技术中心名单等信息向社会公开。企业技术中心的认定、运行评价等，逐步实现网上办理。</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kern w:val="0"/>
          <w:sz w:val="32"/>
          <w:szCs w:val="32"/>
        </w:rPr>
        <w:t>第二十八条</w:t>
      </w:r>
      <w:r>
        <w:rPr>
          <w:rFonts w:ascii="Times New Roman" w:hAnsi="Times New Roman" w:eastAsia="仿宋_GB2312" w:cs="Times New Roman"/>
          <w:sz w:val="32"/>
          <w:szCs w:val="32"/>
        </w:rPr>
        <w:t xml:space="preserve">  本办法自发布之日起施行，有效期五年，2022年发布的《辽宁省企业技术中心认定管理办法》（辽工信科技〔2022〕144号）同时废止。本办法涉及的申请材料、评价材料和评价指标体系等内容和要求，由省工业和信息化厅商</w:t>
      </w:r>
      <w:r>
        <w:rPr>
          <w:rFonts w:ascii="Times New Roman" w:hAnsi="Times New Roman" w:eastAsia="仿宋_GB2312" w:cs="Times New Roman"/>
          <w:kern w:val="0"/>
          <w:sz w:val="32"/>
          <w:szCs w:val="32"/>
        </w:rPr>
        <w:t>省财政厅、省税务局</w:t>
      </w:r>
      <w:r>
        <w:rPr>
          <w:rFonts w:ascii="Times New Roman" w:hAnsi="Times New Roman" w:eastAsia="仿宋_GB2312" w:cs="Times New Roman"/>
          <w:sz w:val="32"/>
          <w:szCs w:val="32"/>
        </w:rPr>
        <w:t>另行发布并适时调整。</w:t>
      </w:r>
    </w:p>
    <w:p>
      <w:pPr>
        <w:spacing w:line="600" w:lineRule="exact"/>
        <w:ind w:firstLine="640" w:firstLineChars="200"/>
        <w:rPr>
          <w:rFonts w:ascii="Times New Roman" w:hAnsi="Times New Roman" w:eastAsia="黑体" w:cs="Times New Roman"/>
          <w:color w:val="000000"/>
          <w:kern w:val="0"/>
          <w:sz w:val="32"/>
          <w:szCs w:val="32"/>
        </w:rPr>
      </w:pPr>
      <w:r>
        <w:rPr>
          <w:rFonts w:ascii="Times New Roman" w:hAnsi="Times New Roman" w:eastAsia="黑体" w:cs="Times New Roman"/>
          <w:kern w:val="0"/>
          <w:sz w:val="32"/>
          <w:szCs w:val="32"/>
        </w:rPr>
        <w:t>第二十九条</w:t>
      </w:r>
      <w:r>
        <w:rPr>
          <w:rFonts w:ascii="Times New Roman" w:hAnsi="Times New Roman" w:eastAsia="仿宋_GB2312" w:cs="Times New Roman"/>
          <w:sz w:val="32"/>
          <w:szCs w:val="32"/>
        </w:rPr>
        <w:t xml:space="preserve">  本办法由省工业和信息化厅负责解释。</w:t>
      </w:r>
      <w:bookmarkStart w:id="8" w:name="_GoBack"/>
      <w:bookmarkEnd w:id="8"/>
    </w:p>
    <w:p>
      <w:pPr>
        <w:spacing w:line="420" w:lineRule="exact"/>
        <w:ind w:firstLine="201" w:firstLineChars="67"/>
        <w:jc w:val="left"/>
        <w:rPr>
          <w:rFonts w:ascii="Times New Roman" w:hAnsi="Times New Roman" w:eastAsia="仿宋_GB2312" w:cs="Times New Roman"/>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45C8B3-DC42-45CD-9856-8E0448A97F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70F9A89B-414B-49DF-895D-CC7522AA56D8}"/>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3" w:fontKey="{3040D5AC-ADCE-4E43-9530-2CD7ED97B317}"/>
  </w:font>
  <w:font w:name="方正仿宋_GBK">
    <w:panose1 w:val="03000509000000000000"/>
    <w:charset w:val="86"/>
    <w:family w:val="script"/>
    <w:pitch w:val="default"/>
    <w:sig w:usb0="00000001" w:usb1="080E0000" w:usb2="00000000" w:usb3="00000000" w:csb0="00040000" w:csb1="00000000"/>
    <w:embedRegular r:id="rId4" w:fontKey="{523E75E4-C7B3-481F-B647-F0531F269359}"/>
  </w:font>
  <w:font w:name="楷体_GB2312">
    <w:panose1 w:val="02010609030101010101"/>
    <w:charset w:val="86"/>
    <w:family w:val="modern"/>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Liberation Serif">
    <w:altName w:val="Traditional Arabic"/>
    <w:panose1 w:val="02020603050405020304"/>
    <w:charset w:val="00"/>
    <w:family w:val="auto"/>
    <w:pitch w:val="default"/>
    <w:sig w:usb0="00000000" w:usb1="00000000" w:usb2="00000000" w:usb3="00000000" w:csb0="6000009F" w:csb1="DFD70000"/>
  </w:font>
  <w:font w:name="FreeSerif">
    <w:altName w:val="Simplified Arabic"/>
    <w:panose1 w:val="02020603050405020304"/>
    <w:charset w:val="00"/>
    <w:family w:val="auto"/>
    <w:pitch w:val="default"/>
    <w:sig w:usb0="00000000" w:usb1="00000000" w:usb2="43501B29" w:usb3="04000043" w:csb0="600101FF" w:csb1="FFFF0000"/>
  </w:font>
  <w:font w:name="Nimbus Roman No9 L">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 w:name="Traditional Arabic">
    <w:panose1 w:val="02020603050405020304"/>
    <w:charset w:val="00"/>
    <w:family w:val="auto"/>
    <w:pitch w:val="default"/>
    <w:sig w:usb0="00006003" w:usb1="80000000" w:usb2="00000008" w:usb3="00000000" w:csb0="00000041" w:csb1="20080000"/>
  </w:font>
  <w:font w:name="Simplified Arabic">
    <w:panose1 w:val="02020603050405020304"/>
    <w:charset w:val="00"/>
    <w:family w:val="auto"/>
    <w:pitch w:val="default"/>
    <w:sig w:usb0="00002003" w:usb1="00000000" w:usb2="00000000"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sz w:val="24"/>
        <w:szCs w:val="24"/>
      </w:rPr>
    </w:sdtEndPr>
    <w:sdtContent>
      <w:p>
        <w:pPr>
          <w:pStyle w:val="8"/>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40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5D7F73"/>
    <w:multiLevelType w:val="singleLevel"/>
    <w:tmpl w:val="BB5D7F73"/>
    <w:lvl w:ilvl="0" w:tentative="0">
      <w:start w:val="17"/>
      <w:numFmt w:val="chineseCounting"/>
      <w:suff w:val="space"/>
      <w:lvlText w:val="第%1条"/>
      <w:lvlJc w:val="left"/>
      <w:rPr>
        <w:rFonts w:hint="eastAsia" w:ascii="黑体" w:hAnsi="黑体" w:eastAsia="黑体" w:cs="黑体"/>
        <w:b w:val="0"/>
        <w:bCs w:val="0"/>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FD2"/>
    <w:rsid w:val="00014C4F"/>
    <w:rsid w:val="00052921"/>
    <w:rsid w:val="00060B77"/>
    <w:rsid w:val="00094D8B"/>
    <w:rsid w:val="000F10B5"/>
    <w:rsid w:val="001C0C91"/>
    <w:rsid w:val="00206BFD"/>
    <w:rsid w:val="00223AFA"/>
    <w:rsid w:val="002C6B34"/>
    <w:rsid w:val="0041283F"/>
    <w:rsid w:val="004A2412"/>
    <w:rsid w:val="004E294D"/>
    <w:rsid w:val="005850E7"/>
    <w:rsid w:val="005E38BC"/>
    <w:rsid w:val="006D6776"/>
    <w:rsid w:val="006F13F0"/>
    <w:rsid w:val="006F206A"/>
    <w:rsid w:val="00733756"/>
    <w:rsid w:val="00762A4C"/>
    <w:rsid w:val="0079473C"/>
    <w:rsid w:val="0083648D"/>
    <w:rsid w:val="008D361B"/>
    <w:rsid w:val="00990576"/>
    <w:rsid w:val="009D45BC"/>
    <w:rsid w:val="009E65A6"/>
    <w:rsid w:val="00A3736C"/>
    <w:rsid w:val="00A77FD2"/>
    <w:rsid w:val="00A8488E"/>
    <w:rsid w:val="00AF69DD"/>
    <w:rsid w:val="00B03788"/>
    <w:rsid w:val="00B3228E"/>
    <w:rsid w:val="00B57897"/>
    <w:rsid w:val="00B65A6A"/>
    <w:rsid w:val="00B66051"/>
    <w:rsid w:val="00BA5892"/>
    <w:rsid w:val="00BB4640"/>
    <w:rsid w:val="00BC280F"/>
    <w:rsid w:val="00BC287C"/>
    <w:rsid w:val="00C56F9B"/>
    <w:rsid w:val="00C63F61"/>
    <w:rsid w:val="00C86824"/>
    <w:rsid w:val="00CC52F9"/>
    <w:rsid w:val="00D07FCF"/>
    <w:rsid w:val="00D168C9"/>
    <w:rsid w:val="00EA7D82"/>
    <w:rsid w:val="00EF5A15"/>
    <w:rsid w:val="00F90FC5"/>
    <w:rsid w:val="22D71A68"/>
    <w:rsid w:val="241E26E0"/>
    <w:rsid w:val="289A21EA"/>
    <w:rsid w:val="351D1FD7"/>
    <w:rsid w:val="36B44275"/>
    <w:rsid w:val="3AE76960"/>
    <w:rsid w:val="3E392C60"/>
    <w:rsid w:val="3F31166E"/>
    <w:rsid w:val="4E844A26"/>
    <w:rsid w:val="55236080"/>
    <w:rsid w:val="58086E95"/>
    <w:rsid w:val="5BFDDFD5"/>
    <w:rsid w:val="60A46F85"/>
    <w:rsid w:val="6ECD2CC0"/>
    <w:rsid w:val="6FCE4D3B"/>
    <w:rsid w:val="747E0D35"/>
    <w:rsid w:val="79538337"/>
    <w:rsid w:val="79ED15E4"/>
    <w:rsid w:val="7C540668"/>
    <w:rsid w:val="7E032A46"/>
    <w:rsid w:val="7FEFCBD7"/>
    <w:rsid w:val="95EF63F8"/>
    <w:rsid w:val="DCBF4E33"/>
    <w:rsid w:val="ED55D108"/>
    <w:rsid w:val="F5B10445"/>
    <w:rsid w:val="F7CB5870"/>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unhideWhenUsed/>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11">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0"/>
    <w:unhideWhenUsed/>
    <w:qFormat/>
    <w:uiPriority w:val="99"/>
    <w:pPr>
      <w:ind w:firstLine="0"/>
      <w:jc w:val="left"/>
    </w:pPr>
    <w:rPr>
      <w:b/>
      <w:bCs/>
      <w:szCs w:val="22"/>
    </w:rPr>
  </w:style>
  <w:style w:type="paragraph" w:styleId="4">
    <w:name w:val="annotation text"/>
    <w:basedOn w:val="1"/>
    <w:next w:val="1"/>
    <w:link w:val="16"/>
    <w:qFormat/>
    <w:uiPriority w:val="99"/>
    <w:pPr>
      <w:ind w:firstLine="3584"/>
    </w:pPr>
    <w:rPr>
      <w:rFonts w:ascii="Calibri" w:hAnsi="Calibri" w:eastAsia="宋体" w:cs="Times New Roman"/>
      <w:szCs w:val="24"/>
    </w:rPr>
  </w:style>
  <w:style w:type="paragraph" w:styleId="5">
    <w:name w:val="caption"/>
    <w:basedOn w:val="1"/>
    <w:next w:val="1"/>
    <w:qFormat/>
    <w:uiPriority w:val="0"/>
    <w:rPr>
      <w:rFonts w:ascii="Cambria" w:hAnsi="Cambria" w:eastAsia="黑体" w:cs="Cambria"/>
      <w:sz w:val="20"/>
      <w:szCs w:val="24"/>
    </w:rPr>
  </w:style>
  <w:style w:type="paragraph" w:styleId="6">
    <w:name w:val="Body Text"/>
    <w:basedOn w:val="1"/>
    <w:link w:val="17"/>
    <w:qFormat/>
    <w:uiPriority w:val="0"/>
    <w:pPr>
      <w:jc w:val="center"/>
    </w:pPr>
    <w:rPr>
      <w:rFonts w:ascii="Times New Roman" w:hAnsi="Times New Roman" w:eastAsia="Times" w:cs="Times New Roman"/>
      <w:sz w:val="24"/>
      <w:szCs w:val="48"/>
    </w:rPr>
  </w:style>
  <w:style w:type="paragraph" w:styleId="7">
    <w:name w:val="Balloon Text"/>
    <w:basedOn w:val="1"/>
    <w:link w:val="19"/>
    <w:unhideWhenUsed/>
    <w:qFormat/>
    <w:uiPriority w:val="99"/>
    <w:rPr>
      <w:rFonts w:ascii="Calibri" w:hAnsi="Calibri" w:eastAsia="宋体" w:cs="Times New Roman"/>
      <w:sz w:val="18"/>
      <w:szCs w:val="18"/>
    </w:rPr>
  </w:style>
  <w:style w:type="paragraph" w:styleId="8">
    <w:name w:val="footer"/>
    <w:basedOn w:val="1"/>
    <w:link w:val="15"/>
    <w:unhideWhenUsed/>
    <w:qFormat/>
    <w:uiPriority w:val="99"/>
    <w:pPr>
      <w:tabs>
        <w:tab w:val="center" w:pos="4153"/>
        <w:tab w:val="right" w:pos="8306"/>
      </w:tabs>
      <w:snapToGrid w:val="0"/>
      <w:jc w:val="left"/>
    </w:pPr>
    <w:rPr>
      <w:rFonts w:ascii="Calibri" w:hAnsi="Calibri" w:eastAsia="宋体" w:cs="Calibri"/>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22"/>
    <w:rPr>
      <w:b/>
      <w:bCs/>
    </w:rPr>
  </w:style>
  <w:style w:type="character" w:customStyle="1" w:styleId="14">
    <w:name w:val="标题 2 Char"/>
    <w:basedOn w:val="11"/>
    <w:link w:val="2"/>
    <w:qFormat/>
    <w:uiPriority w:val="0"/>
    <w:rPr>
      <w:rFonts w:ascii="Calibri Light" w:hAnsi="Calibri Light" w:eastAsia="宋体" w:cs="Times New Roman"/>
      <w:b/>
      <w:bCs/>
      <w:sz w:val="32"/>
      <w:szCs w:val="32"/>
    </w:rPr>
  </w:style>
  <w:style w:type="character" w:customStyle="1" w:styleId="15">
    <w:name w:val="页脚 Char"/>
    <w:basedOn w:val="11"/>
    <w:link w:val="8"/>
    <w:qFormat/>
    <w:uiPriority w:val="99"/>
    <w:rPr>
      <w:rFonts w:ascii="Calibri" w:hAnsi="Calibri" w:eastAsia="宋体" w:cs="Calibri"/>
      <w:sz w:val="18"/>
      <w:szCs w:val="18"/>
    </w:rPr>
  </w:style>
  <w:style w:type="character" w:customStyle="1" w:styleId="16">
    <w:name w:val="批注文字 Char"/>
    <w:basedOn w:val="11"/>
    <w:link w:val="4"/>
    <w:qFormat/>
    <w:uiPriority w:val="99"/>
    <w:rPr>
      <w:rFonts w:ascii="Calibri" w:hAnsi="Calibri" w:eastAsia="宋体" w:cs="Times New Roman"/>
      <w:szCs w:val="24"/>
    </w:rPr>
  </w:style>
  <w:style w:type="character" w:customStyle="1" w:styleId="17">
    <w:name w:val="正文文本 Char"/>
    <w:basedOn w:val="11"/>
    <w:link w:val="6"/>
    <w:qFormat/>
    <w:uiPriority w:val="0"/>
    <w:rPr>
      <w:rFonts w:ascii="Times New Roman" w:hAnsi="Times New Roman" w:eastAsia="Times" w:cs="Times New Roman"/>
      <w:sz w:val="24"/>
      <w:szCs w:val="48"/>
    </w:rPr>
  </w:style>
  <w:style w:type="character" w:customStyle="1" w:styleId="18">
    <w:name w:val="页眉 Char"/>
    <w:basedOn w:val="11"/>
    <w:link w:val="9"/>
    <w:qFormat/>
    <w:uiPriority w:val="99"/>
    <w:rPr>
      <w:sz w:val="18"/>
      <w:szCs w:val="18"/>
    </w:rPr>
  </w:style>
  <w:style w:type="character" w:customStyle="1" w:styleId="19">
    <w:name w:val="批注框文本 Char"/>
    <w:basedOn w:val="11"/>
    <w:link w:val="7"/>
    <w:qFormat/>
    <w:uiPriority w:val="99"/>
    <w:rPr>
      <w:rFonts w:ascii="Calibri" w:hAnsi="Calibri" w:eastAsia="宋体" w:cs="Times New Roman"/>
      <w:sz w:val="18"/>
      <w:szCs w:val="18"/>
    </w:rPr>
  </w:style>
  <w:style w:type="character" w:customStyle="1" w:styleId="20">
    <w:name w:val="批注主题 Char"/>
    <w:basedOn w:val="16"/>
    <w:link w:val="3"/>
    <w:semiHidden/>
    <w:qFormat/>
    <w:uiPriority w:val="99"/>
    <w:rPr>
      <w:rFonts w:ascii="Calibri" w:hAnsi="Calibri" w:eastAsia="宋体" w:cs="Times New Roman"/>
      <w:b/>
      <w:bCs/>
      <w:szCs w:val="24"/>
    </w:rPr>
  </w:style>
  <w:style w:type="paragraph" w:customStyle="1" w:styleId="21">
    <w:name w:val="List Paragraph"/>
    <w:basedOn w:val="1"/>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2664</Words>
  <Characters>15187</Characters>
  <Lines>126</Lines>
  <Paragraphs>35</Paragraphs>
  <TotalTime>0</TotalTime>
  <ScaleCrop>false</ScaleCrop>
  <LinksUpToDate>false</LinksUpToDate>
  <CharactersWithSpaces>17816</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2026-09-08T16:24:00Z</dcterms:created>
  <dc:creator>毛彤</dc:creator>
  <cp:lastModifiedBy>Administrator</cp:lastModifiedBy>
  <cp:lastPrinted>2026-09-03T16:57:00Z</cp:lastPrinted>
  <dcterms:modified xsi:type="dcterms:W3CDTF">2026-09-23T08:47:43Z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eyJoZGlkIjoiN2YzNjBkOTgyNWQ1YTMxYzM3MzMwNWFiODNmOWIzYWMiLCJ1c2VySWQiOiIyODYyNjg0NTAifQ==</vt:lpwstr>
  </property>
  <property fmtid="{D5CDD505-2E9C-101B-9397-08002B2CF9AE}" pid="3" name="KSOProductBuildVer">
    <vt:lpwstr>2052-10.8.0.5988</vt:lpwstr>
  </property>
  <property fmtid="{D5CDD505-2E9C-101B-9397-08002B2CF9AE}" pid="4" name="ICV">
    <vt:lpwstr>5F4739B8029B49598EE30A2FB1F0BEB6_12</vt:lpwstr>
  </property>
</Properties>
</file>