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CESI小标宋-GB2312" w:hAnsi="CESI小标宋-GB2312" w:eastAsia="CESI小标宋-GB2312" w:cs="CESI小标宋-GB2312"/>
          <w:lang w:val="en-US" w:eastAsia="zh-CN"/>
        </w:rPr>
      </w:pPr>
      <w:r>
        <w:rPr>
          <w:rFonts w:hint="eastAsia" w:ascii="CESI小标宋-GB2312" w:hAnsi="CESI小标宋-GB2312" w:eastAsia="CESI小标宋-GB2312" w:cs="CESI小标宋-GB2312"/>
          <w:sz w:val="36"/>
          <w:szCs w:val="36"/>
          <w:lang w:val="en-US" w:eastAsia="zh-CN"/>
        </w:rPr>
        <w:t>营口市工业和信息化局权责清单</w:t>
      </w:r>
    </w:p>
    <w:tbl>
      <w:tblPr>
        <w:tblStyle w:val="2"/>
        <w:tblpPr w:leftFromText="180" w:rightFromText="180" w:vertAnchor="text" w:horzAnchor="page" w:tblpX="1823" w:tblpY="943"/>
        <w:tblOverlap w:val="never"/>
        <w:tblW w:w="136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6"/>
        <w:gridCol w:w="5805"/>
        <w:gridCol w:w="5783"/>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8"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序号</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主项名称</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子项名称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事项类型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5000万元以下的内资企业技术改造项目和3000万美元以下的外资企业技术改造项目进口设备免关税初步确认</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5000万元以下的内资企业技术改造项目和3000万美元以下的外资企业技术改造项目进口设备免关税初步确认</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重点用能单位能源利用状况检查</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重点用能单位能源利用状况检查</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对违反《节约能源法》行为的处罚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对重点用能单位未按规定设立能源管理岗位、聘任能源管理负责人并进行备案的行为的处罚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对违反《节约能源法》行为的处罚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对重点用能单位未按规定报送能源利用状况报告或者报告内容不实行为的处罚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对违反《节约能源法》行为的处罚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对重点用能单位节能管理制度不健全、节能措施不落实、能源利用效率低而进行整改没有达到要求的处罚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对重点用能单位节能工作的检查</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对重点用能单位节能工作的检查</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对违反《辽宁省电力设施保护条例》行为的处罚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对在水力发电设施水域保护区内炸鱼、捕鱼、游泳、划船及其他可能危及水工建筑物安全的行为等行为的处罚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对违反《辽宁省电力设施保护条例》行为的处罚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对在发电厂、变电站围墙外侧3米内兴建建筑物、构筑物等行为的处罚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对违反《辽宁省节约能源监察办法》行为的处罚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对用能单位在规定的整改期限内、无正当理由拒不进行整改的行为的处罚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对违反《辽宁省节约能源监察办法》行为的处罚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对用能单位拒绝、阻碍节能监察工作，或者拒不提供相关资料、样品以及伪造、销毁、篡改证据行为的处罚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对违反《节约能源法》行为的处罚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对无偿向本单位职工提供能源或者对能源消费实行包费制的行为的处罚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对违反《电力法》行为的处罚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对未经许可，从事供电或者变更供电营业区行为的处罚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对违反《中华人民共和国电力法》行为的强制</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对未经批准或者未采取安全措施在电力设施周围或者在依法划定的电力设施保护区内进行作业，危及电力设施安全的责令恢复原状</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对违反《辽宁省电力设施保护条例》行为的处罚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对未按照规定设置安全警示标志等行为的处罚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对违反《辽宁省电力设施保护条例》行为的处罚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对危及发电、变电设施的输水、输油、供热、排灰等管道（沟）的安全运行等行为的处罚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对违反《中华人民共和国电力法》行为的强制</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对危害供电、用电安全或者扰乱供电、用电秩序行为的中止供电</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对违反《电力法》行为的处罚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对危害供电、用电安全或者扰乱供电、用电秩序行为的处罚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对违反《节约能源法》行为的处罚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对使用国家明令淘汰的用能设备或者生产工艺行为的处罚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对擅自伸入或跨越供电营业区供电行为、向外转供电行为的处罚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对擅自伸入或跨越供电营业区供电行为、向外转供电行为的处罚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对民爆生产销售单位安全生产情况的检查</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对民爆生产销售单位安全生产情况的检查</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对违反《节约能源法》行为的处罚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对开工建设不符合强制性节能标准的项目或者将项目投入生产、使用的固定资产投资项目建设行为的处罚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对节能工作的监督检查</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对节能工作的监督检查</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对电力企业和用户执行电力法律、行政法规的情况实施监督检查</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对电力企业和用户执行电力法律、行政法规的情况实施监督检查</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对违反《电力法》行为的处罚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对电力建设项目使用国家明令淘汰的电力设备和技术行为的处罚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对违反《电力法》行为的处罚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对盗窃电能行为的处罚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对违反《节约能源法》行为的处罚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对从事节能咨询、设计、评估等服务的机构提供虚假信息行为的处罚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对违反《节约能源法》行为的处罚</w:t>
            </w:r>
          </w:p>
        </w:tc>
        <w:tc>
          <w:tcPr>
            <w:tcW w:w="5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对超过单位产品能耗限额标准用能行为的处罚</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CESI小标宋-GB2312">
    <w:panose1 w:val="02000500000000000000"/>
    <w:charset w:val="86"/>
    <w:family w:val="auto"/>
    <w:pitch w:val="default"/>
    <w:sig w:usb0="800002AF" w:usb1="084F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F5791"/>
    <w:rsid w:val="40990A36"/>
    <w:rsid w:val="6EB7F9AA"/>
    <w:rsid w:val="779F4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1</dc:creator>
  <cp:lastModifiedBy>greatwall</cp:lastModifiedBy>
  <dcterms:modified xsi:type="dcterms:W3CDTF">2022-06-28T10:12:59Z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2052-11.1.0.10976</vt:lpwstr>
  </property>
</Properties>
</file>