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424242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24242"/>
          <w:sz w:val="44"/>
          <w:szCs w:val="44"/>
          <w:shd w:val="clear" w:fill="FFFFFF"/>
          <w:lang w:eastAsia="zh-CN"/>
        </w:rPr>
        <w:t>抚顺市工业和信息化局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24242"/>
          <w:sz w:val="44"/>
          <w:szCs w:val="44"/>
          <w:shd w:val="clear" w:fill="FFFFFF"/>
          <w:lang w:val="en-US" w:eastAsia="zh-CN"/>
        </w:rPr>
        <w:t>2021年度行政执法总体情况报告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宋体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市全面依法行政工作领导小组：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宋体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按照《关于报送2021年度行政处罚统计报表和行政执法总体情况报告的通知》要求，我局认真组织实施，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积极构建科学规范的依法行政制度体系，</w:t>
      </w:r>
      <w:r>
        <w:rPr>
          <w:rFonts w:hint="eastAsia" w:ascii="仿宋_GB2312" w:hAnsi="宋体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强化依法行政意识，规范执法行为，依法履行政府职能。现将2021年度行政执法总体情况报告如下：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2424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一、2021年度行政执法基本情况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提升科学民主依法行政能力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1.全面推进行政执法“三项制度”。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在局网站“行政执法”专栏，集中公开我局的“三项制度”、行政执法事项清单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行政执法流程图、行政执法服务指南、行政执法人员清单、行政处罚自由裁量制度等材料，规范事前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、事后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公示。严格对照“三项制度”各项标准要求抓好贯彻落实，强化执法人员的法制意识，规范执法行为，提高执法水平，及时公开行政执法决定，并将执法情况报告报送至市司法局，着力推进行政执法透明、规范、合法、公正，切实维护企业群众合法权益，助推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法治政府建设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2.加强行政执法监督。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为进一步规范行政执法行为，切实加强行政执法监督工作，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对照各类行政执法案卷评查标准，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我局对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已办结的行政许可案卷7宗、行政检查案卷13宗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卷宗规范性、合法性以及立卷归档标准性进行自查，经自查我局行政执法案卷得分均为优秀。严格执行行政执法人员持证上岗和资格动态管理，依托抚顺市行政执法人员培训考试云平台，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通过网络在线学习的方式，在确保通用法律培训时长和专业法律培训时长的基础上，进行网络题库的强化学习。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加强政务诚信建设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1.提升政务公开水平。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深化政务公开制度化、标准化、信息化建设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在局网站“政务公开”“行政执法”等专栏对新修订、新颁布的法律法规进行宣传；公开市工信局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权责清单、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行政执法事项清单、行政执法人员清单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人大政协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建议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提案答复、政府信息公开指南等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信息，新网站上线试运行，政务公开工作质量全面提升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2.落实信用信息归集管理。</w:t>
      </w:r>
      <w:r>
        <w:rPr>
          <w:rFonts w:hint="eastAsia" w:ascii="仿宋_GB2312" w:eastAsia="仿宋_GB2312"/>
          <w:sz w:val="32"/>
          <w:szCs w:val="32"/>
          <w:highlight w:val="none"/>
        </w:rPr>
        <w:t>积极落实好信用信息公示工作，依托市政务服务网将我局的行政许可、行政检查等事项的办理指南、申请条件、提交资料、办理时限等对外公开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同时将办理结果上传政务服务网、信用双公示平台、互联网+监管平台进行公示。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highlight w:val="none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）构建法治化营商环境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优化服务流程，落实“四减”工作。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将工业技术改造项目备案、废旧电力设施器材收购许可2项行政审批事项，由承诺件改为即办件，压缩事项办理时限共计8个工作日。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2.坚持“一网通办”，各项指标达标。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我局4项行政审批事项均达到全流程网办，并已制作完成两枚电子印章。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累计办理废旧电力设施器材收购许可事项11件，好评率100%。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3.公开办事指南，践行为企服务。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结合最新网办实际，进一步梳理办事指南及流程图，动态优化调整一体化在线平台事项库，逐项更新实施清单，在审批窗口及官网同时公开。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二、2021年度行政执法比较分析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行政执法能力不断提升。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我局报名2020年度行政执法资格考试人数10人，全部取得行政执法证，通过率100%。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组织市节能监察中心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实施国家、市级工业节能监察重点计划，发挥节能监察的监督保障作用。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行政许可数量总体略有上升。2021年，我局共实施行政许可11件，均为废旧电力设施器材收购许可。与上一统计期相比增加4件，增长57%。废旧电力设施器材收购许可有效期为二年，上述11户企业的废旧电力设施器材收购许可证均为2021年到期，因此行政许可数量有所上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2021年，我局未发生行政处罚及行政强制事项。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附件：1.市工信局行政处罚统计报表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0" w:firstLineChars="5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2.市工信局2021年度行政许可实施情况统计表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0" w:firstLineChars="50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3.市工信局2021年度行政强制实施情况统计表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760" w:right="0" w:hanging="320" w:hangingChars="10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4.市工信局2021年度其他行政执法行为实施情况统计表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0" w:firstLineChars="12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抚顺市工业和信息化局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2022年1月6日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附件1：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308610</wp:posOffset>
            </wp:positionV>
            <wp:extent cx="10033635" cy="2728595"/>
            <wp:effectExtent l="0" t="0" r="5715" b="14605"/>
            <wp:wrapTight wrapText="bothSides">
              <wp:wrapPolygon>
                <wp:start x="0" y="0"/>
                <wp:lineTo x="0" y="21414"/>
                <wp:lineTo x="21571" y="21414"/>
                <wp:lineTo x="21571" y="0"/>
                <wp:lineTo x="0" y="0"/>
              </wp:wrapPolygon>
            </wp:wrapTight>
            <wp:docPr id="7" name="图片 7" descr="截图-2022年1月4日 12时20分27秒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截图-2022年1月4日 12时20分27秒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363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  <w:sectPr>
          <w:pgSz w:w="16838" w:h="11906" w:orient="landscape"/>
          <w:pgMar w:top="6" w:right="6" w:bottom="6" w:left="6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仿宋_GB2312" w:hAnsi="仿宋_GB2312" w:eastAsia="仿宋_GB2312" w:cs="仿宋_GB2312"/>
          <w:color w:val="42424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fill="FFFFFF"/>
          <w:lang w:val="en-US" w:eastAsia="zh-CN"/>
        </w:rPr>
        <w:t>2：</w:t>
      </w:r>
    </w:p>
    <w:p>
      <w:pPr>
        <w:shd w:val="clear" w:color="auto" w:fill="FFFFFF"/>
        <w:spacing w:line="420" w:lineRule="atLeast"/>
        <w:rPr>
          <w:rFonts w:ascii="微软雅黑" w:hAnsi="微软雅黑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lang w:val="en-US" w:eastAsia="zh-CN"/>
        </w:rPr>
        <w:t>表二：市工信</w:t>
      </w:r>
      <w:r>
        <w:rPr>
          <w:rFonts w:hint="eastAsia" w:ascii="黑体" w:hAnsi="黑体" w:eastAsia="黑体" w:cs="宋体"/>
          <w:color w:val="333333"/>
          <w:sz w:val="32"/>
          <w:szCs w:val="32"/>
          <w:lang w:eastAsia="zh-CN"/>
        </w:rPr>
        <w:t>局</w:t>
      </w:r>
      <w:r>
        <w:rPr>
          <w:rFonts w:hint="eastAsia" w:ascii="黑体" w:hAnsi="黑体" w:eastAsia="黑体" w:cs="宋体"/>
          <w:color w:val="333333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color w:val="333333"/>
          <w:sz w:val="32"/>
          <w:szCs w:val="32"/>
        </w:rPr>
        <w:t>年度行政许可实施情况统计表</w:t>
      </w:r>
    </w:p>
    <w:tbl>
      <w:tblPr>
        <w:tblStyle w:val="4"/>
        <w:tblW w:w="9048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1525"/>
        <w:gridCol w:w="1562"/>
        <w:gridCol w:w="2200"/>
        <w:gridCol w:w="2199"/>
      </w:tblGrid>
      <w:tr>
        <w:trPr>
          <w:tblCellSpacing w:w="0" w:type="dxa"/>
          <w:jc w:val="center"/>
        </w:trPr>
        <w:tc>
          <w:tcPr>
            <w:tcW w:w="90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行政许可实施数量（宗）</w:t>
            </w:r>
          </w:p>
        </w:tc>
      </w:tr>
      <w:tr>
        <w:trPr>
          <w:tblCellSpacing w:w="0" w:type="dxa"/>
          <w:jc w:val="center"/>
        </w:trPr>
        <w:tc>
          <w:tcPr>
            <w:tcW w:w="15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申请数量</w:t>
            </w:r>
          </w:p>
        </w:tc>
        <w:tc>
          <w:tcPr>
            <w:tcW w:w="1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受理数量</w:t>
            </w:r>
          </w:p>
        </w:tc>
        <w:tc>
          <w:tcPr>
            <w:tcW w:w="15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许可数量</w:t>
            </w:r>
          </w:p>
        </w:tc>
        <w:tc>
          <w:tcPr>
            <w:tcW w:w="2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不予许可数量</w:t>
            </w:r>
          </w:p>
        </w:tc>
        <w:tc>
          <w:tcPr>
            <w:tcW w:w="2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撤销许可数量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  <w:jc w:val="center"/>
        </w:trPr>
        <w:tc>
          <w:tcPr>
            <w:tcW w:w="156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hd w:val="clear" w:color="auto" w:fill="FFFFFF"/>
        <w:spacing w:line="420" w:lineRule="atLeast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spacing w:line="420" w:lineRule="atLeast"/>
        <w:jc w:val="left"/>
        <w:rPr>
          <w:rFonts w:hint="default" w:ascii="仿宋_GB2312" w:hAnsi="微软雅黑" w:eastAsia="仿宋_GB2312" w:cs="宋体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  <w:lang w:val="en-US" w:eastAsia="zh-CN"/>
        </w:rPr>
        <w:t>3：</w:t>
      </w:r>
    </w:p>
    <w:p>
      <w:pPr>
        <w:shd w:val="clear" w:color="auto" w:fill="FFFFFF"/>
        <w:spacing w:line="420" w:lineRule="atLeast"/>
        <w:rPr>
          <w:rFonts w:hint="eastAsia" w:ascii="黑体" w:hAnsi="黑体" w:eastAsia="黑体" w:cs="宋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lang w:val="en-US" w:eastAsia="zh-CN"/>
        </w:rPr>
        <w:t>表三：市工信局2021年度行政强制实施情况统计表</w:t>
      </w:r>
    </w:p>
    <w:tbl>
      <w:tblPr>
        <w:tblStyle w:val="4"/>
        <w:tblW w:w="9099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862"/>
        <w:gridCol w:w="888"/>
        <w:gridCol w:w="850"/>
        <w:gridCol w:w="775"/>
        <w:gridCol w:w="652"/>
        <w:gridCol w:w="1073"/>
        <w:gridCol w:w="650"/>
        <w:gridCol w:w="650"/>
        <w:gridCol w:w="652"/>
        <w:gridCol w:w="576"/>
        <w:gridCol w:w="5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行政强制措施实施数量（宗）</w:t>
            </w:r>
          </w:p>
        </w:tc>
        <w:tc>
          <w:tcPr>
            <w:tcW w:w="502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420" w:lineRule="atLeast"/>
              <w:jc w:val="center"/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行政强制执行实施数量</w:t>
            </w:r>
          </w:p>
          <w:p>
            <w:pPr>
              <w:spacing w:line="420" w:lineRule="atLeast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（宗）</w:t>
            </w:r>
          </w:p>
        </w:tc>
        <w:tc>
          <w:tcPr>
            <w:tcW w:w="53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查封场所、设施或者财物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扣押财物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冻结存款、汇款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其他行政强制措施</w:t>
            </w:r>
          </w:p>
        </w:tc>
        <w:tc>
          <w:tcPr>
            <w:tcW w:w="445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行政机关强制执行</w:t>
            </w:r>
          </w:p>
        </w:tc>
        <w:tc>
          <w:tcPr>
            <w:tcW w:w="5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0"/>
                <w:szCs w:val="30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0"/>
                <w:szCs w:val="30"/>
              </w:rPr>
              <w:t>申请法院强制执行</w:t>
            </w:r>
          </w:p>
        </w:tc>
        <w:tc>
          <w:tcPr>
            <w:tcW w:w="5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6" w:hRule="atLeast"/>
          <w:tblCellSpacing w:w="0" w:type="dxa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cs="宋体"/>
                <w:sz w:val="32"/>
                <w:szCs w:val="3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cs="宋体"/>
                <w:sz w:val="32"/>
                <w:szCs w:val="32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cs="宋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cs="宋体"/>
                <w:sz w:val="32"/>
                <w:szCs w:val="3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加处罚款或者滞纳金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划拨存款、汇款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扣押的场所、设施或者财物拍卖或者依法处理查封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排除妨碍、恢复原状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代履行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其他强制执行</w:t>
            </w:r>
          </w:p>
        </w:tc>
        <w:tc>
          <w:tcPr>
            <w:tcW w:w="5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cs="宋体"/>
                <w:sz w:val="32"/>
                <w:szCs w:val="3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hd w:val="clear" w:color="auto" w:fill="FFFFFF"/>
        <w:spacing w:line="360" w:lineRule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shd w:val="clear" w:color="auto" w:fill="FFFFFF"/>
        <w:spacing w:line="360" w:lineRule="auto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shd w:val="clear" w:color="auto" w:fill="FFFFFF"/>
        <w:spacing w:line="360" w:lineRule="auto"/>
        <w:rPr>
          <w:rFonts w:hint="default" w:ascii="仿宋_GB2312" w:hAnsi="微软雅黑" w:eastAsia="仿宋_GB2312" w:cs="宋体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微软雅黑" w:eastAsia="仿宋_GB2312" w:cs="宋体"/>
          <w:color w:val="333333"/>
          <w:sz w:val="32"/>
          <w:szCs w:val="32"/>
          <w:lang w:val="en-US" w:eastAsia="zh-CN"/>
        </w:rPr>
        <w:t>4：</w:t>
      </w:r>
    </w:p>
    <w:p>
      <w:pPr>
        <w:shd w:val="clear" w:color="auto" w:fill="FFFFFF"/>
        <w:spacing w:line="420" w:lineRule="atLeast"/>
        <w:rPr>
          <w:rFonts w:hint="eastAsia" w:ascii="黑体" w:hAnsi="黑体" w:eastAsia="黑体" w:cs="宋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lang w:val="en-US" w:eastAsia="zh-CN"/>
        </w:rPr>
        <w:t>表四:市工信局2021年度其他行政执法行为实施情况统计表</w:t>
      </w:r>
    </w:p>
    <w:tbl>
      <w:tblPr>
        <w:tblStyle w:val="4"/>
        <w:tblW w:w="9211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25"/>
        <w:gridCol w:w="687"/>
        <w:gridCol w:w="638"/>
        <w:gridCol w:w="1037"/>
        <w:gridCol w:w="663"/>
        <w:gridCol w:w="1162"/>
        <w:gridCol w:w="725"/>
        <w:gridCol w:w="700"/>
        <w:gridCol w:w="1100"/>
        <w:gridCol w:w="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  <w:tblCellSpacing w:w="0" w:type="dxa"/>
          <w:jc w:val="center"/>
        </w:trPr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行政征收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行政检查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行政裁决</w:t>
            </w:r>
          </w:p>
        </w:tc>
        <w:tc>
          <w:tcPr>
            <w:tcW w:w="1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行政给付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行政确认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行政奖励</w:t>
            </w:r>
          </w:p>
        </w:tc>
        <w:tc>
          <w:tcPr>
            <w:tcW w:w="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LrV"/>
            <w:vAlign w:val="center"/>
          </w:tcPr>
          <w:p>
            <w:pPr>
              <w:spacing w:line="420" w:lineRule="atLeast"/>
              <w:ind w:left="113" w:right="113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其他行政执法行为</w:t>
            </w:r>
          </w:p>
        </w:tc>
      </w:tr>
      <w:tr>
        <w:trPr>
          <w:tblCellSpacing w:w="0" w:type="dxa"/>
          <w:jc w:val="center"/>
        </w:trPr>
        <w:tc>
          <w:tcPr>
            <w:tcW w:w="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次数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征收总金额（万元）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  <w:highlight w:val="none"/>
              </w:rPr>
              <w:t>次数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次数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涉及金额</w:t>
            </w:r>
          </w:p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次数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给付总金额（万元）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次数</w:t>
            </w:r>
          </w:p>
        </w:tc>
        <w:tc>
          <w:tcPr>
            <w:tcW w:w="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次数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</w:rPr>
              <w:t>奖励总金额（万元）</w:t>
            </w:r>
          </w:p>
        </w:tc>
        <w:tc>
          <w:tcPr>
            <w:tcW w:w="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atLeast"/>
              <w:jc w:val="center"/>
              <w:rPr>
                <w:rFonts w:ascii="微软雅黑" w:hAnsi="微软雅黑" w:cs="宋体"/>
                <w:sz w:val="32"/>
                <w:szCs w:val="32"/>
              </w:rPr>
            </w:pPr>
            <w:r>
              <w:rPr>
                <w:rFonts w:hint="eastAsia" w:ascii="楷体_GB2312" w:hAnsi="微软雅黑" w:eastAsia="楷体_GB2312" w:cs="宋体"/>
                <w:b/>
                <w:bCs/>
                <w:sz w:val="32"/>
                <w:szCs w:val="32"/>
                <w:highlight w:val="none"/>
              </w:rPr>
              <w:t>宗数</w:t>
            </w:r>
          </w:p>
        </w:tc>
      </w:tr>
      <w:tr>
        <w:trPr>
          <w:tblCellSpacing w:w="0" w:type="dxa"/>
          <w:jc w:val="center"/>
        </w:trPr>
        <w:tc>
          <w:tcPr>
            <w:tcW w:w="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eastAsia" w:ascii="微软雅黑" w:hAnsi="微软雅黑" w:cs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center"/>
              <w:rPr>
                <w:rFonts w:hint="default" w:ascii="微软雅黑" w:hAnsi="微软雅黑" w:eastAsia="微软雅黑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BC171"/>
    <w:rsid w:val="167FC4E1"/>
    <w:rsid w:val="1AEE8C9E"/>
    <w:rsid w:val="1AFA6068"/>
    <w:rsid w:val="1B4FCBD8"/>
    <w:rsid w:val="1DFF7832"/>
    <w:rsid w:val="1EFD116F"/>
    <w:rsid w:val="1FF7E290"/>
    <w:rsid w:val="1FFE8F04"/>
    <w:rsid w:val="21485C35"/>
    <w:rsid w:val="21C90C4E"/>
    <w:rsid w:val="22D93111"/>
    <w:rsid w:val="237EB09B"/>
    <w:rsid w:val="245D1352"/>
    <w:rsid w:val="2B5FD34F"/>
    <w:rsid w:val="2E733418"/>
    <w:rsid w:val="2EBBEBD4"/>
    <w:rsid w:val="2F763278"/>
    <w:rsid w:val="2F7F94F8"/>
    <w:rsid w:val="2FCFDFFF"/>
    <w:rsid w:val="2FDB633A"/>
    <w:rsid w:val="31927D75"/>
    <w:rsid w:val="31F39220"/>
    <w:rsid w:val="33FB36FB"/>
    <w:rsid w:val="3540356B"/>
    <w:rsid w:val="3777BE92"/>
    <w:rsid w:val="39F0A335"/>
    <w:rsid w:val="3B5B1EE9"/>
    <w:rsid w:val="3C8F699A"/>
    <w:rsid w:val="3EFA169B"/>
    <w:rsid w:val="3EFB1AFB"/>
    <w:rsid w:val="3F6E40BA"/>
    <w:rsid w:val="3F970E82"/>
    <w:rsid w:val="3FBC9D64"/>
    <w:rsid w:val="3FF65D1F"/>
    <w:rsid w:val="3FFF4A68"/>
    <w:rsid w:val="3FFF84A2"/>
    <w:rsid w:val="446F62E6"/>
    <w:rsid w:val="477D939B"/>
    <w:rsid w:val="4CF1DB1F"/>
    <w:rsid w:val="4FBBC44E"/>
    <w:rsid w:val="4FF509B3"/>
    <w:rsid w:val="565BA117"/>
    <w:rsid w:val="594FFDDF"/>
    <w:rsid w:val="596EA227"/>
    <w:rsid w:val="5AFF85CB"/>
    <w:rsid w:val="5B7F9A56"/>
    <w:rsid w:val="5BF25D6B"/>
    <w:rsid w:val="5BFF6CBF"/>
    <w:rsid w:val="5DFF6BBB"/>
    <w:rsid w:val="5FE9B688"/>
    <w:rsid w:val="62623FC3"/>
    <w:rsid w:val="629BDF6F"/>
    <w:rsid w:val="63DBC1B5"/>
    <w:rsid w:val="653F2C02"/>
    <w:rsid w:val="671BF1AF"/>
    <w:rsid w:val="67FF8904"/>
    <w:rsid w:val="680A10F4"/>
    <w:rsid w:val="6ADEB8D4"/>
    <w:rsid w:val="6BACD611"/>
    <w:rsid w:val="6BBF3E33"/>
    <w:rsid w:val="6BFDDC1F"/>
    <w:rsid w:val="6DF7F3B9"/>
    <w:rsid w:val="6EFFC787"/>
    <w:rsid w:val="6FF7D233"/>
    <w:rsid w:val="72FB4572"/>
    <w:rsid w:val="76DABA1C"/>
    <w:rsid w:val="76DE91C2"/>
    <w:rsid w:val="76FD8515"/>
    <w:rsid w:val="777E3D54"/>
    <w:rsid w:val="77BC08FC"/>
    <w:rsid w:val="77F3A2D1"/>
    <w:rsid w:val="77FEC461"/>
    <w:rsid w:val="795F033D"/>
    <w:rsid w:val="797DAA88"/>
    <w:rsid w:val="79FFE1B0"/>
    <w:rsid w:val="7ACB3B5B"/>
    <w:rsid w:val="7AE71BB7"/>
    <w:rsid w:val="7CFF5311"/>
    <w:rsid w:val="7D495EC3"/>
    <w:rsid w:val="7D7DFB3E"/>
    <w:rsid w:val="7D7FBCD4"/>
    <w:rsid w:val="7DBDC612"/>
    <w:rsid w:val="7DC7FEE4"/>
    <w:rsid w:val="7DDFEE43"/>
    <w:rsid w:val="7DFF6B3D"/>
    <w:rsid w:val="7E6EC89B"/>
    <w:rsid w:val="7E7EC1E2"/>
    <w:rsid w:val="7EB30CC9"/>
    <w:rsid w:val="7ED276CA"/>
    <w:rsid w:val="7EDDAD4B"/>
    <w:rsid w:val="7EFFA5B2"/>
    <w:rsid w:val="7F3E484A"/>
    <w:rsid w:val="7F6243CF"/>
    <w:rsid w:val="7F75DF67"/>
    <w:rsid w:val="7F78D040"/>
    <w:rsid w:val="7F7F7460"/>
    <w:rsid w:val="7F8EB7B1"/>
    <w:rsid w:val="7FB91326"/>
    <w:rsid w:val="7FD99285"/>
    <w:rsid w:val="7FDB7BE2"/>
    <w:rsid w:val="7FDF196C"/>
    <w:rsid w:val="7FF2E3A4"/>
    <w:rsid w:val="7FF31F91"/>
    <w:rsid w:val="7FFD2F9A"/>
    <w:rsid w:val="7FFF0BE1"/>
    <w:rsid w:val="7FFFA343"/>
    <w:rsid w:val="7FFFD4BD"/>
    <w:rsid w:val="8ADF2FAA"/>
    <w:rsid w:val="8C237923"/>
    <w:rsid w:val="8DF77FB9"/>
    <w:rsid w:val="8DFEFE50"/>
    <w:rsid w:val="8FF55E51"/>
    <w:rsid w:val="9BB3D7C0"/>
    <w:rsid w:val="9DEF0F8B"/>
    <w:rsid w:val="9E562835"/>
    <w:rsid w:val="9FF365C8"/>
    <w:rsid w:val="AF6F8753"/>
    <w:rsid w:val="AF7BAAEB"/>
    <w:rsid w:val="AFEF25FB"/>
    <w:rsid w:val="B377D5EB"/>
    <w:rsid w:val="B7BD2993"/>
    <w:rsid w:val="B7BF1EC6"/>
    <w:rsid w:val="B7FBA171"/>
    <w:rsid w:val="BACEB183"/>
    <w:rsid w:val="BBFC99B0"/>
    <w:rsid w:val="BC7F2462"/>
    <w:rsid w:val="BDD0F414"/>
    <w:rsid w:val="BDF23344"/>
    <w:rsid w:val="BE6BC621"/>
    <w:rsid w:val="BE7F9EA7"/>
    <w:rsid w:val="BED9F26B"/>
    <w:rsid w:val="BEFD19B0"/>
    <w:rsid w:val="BF5F3019"/>
    <w:rsid w:val="BFAC9331"/>
    <w:rsid w:val="BFAF45BA"/>
    <w:rsid w:val="BFDFE547"/>
    <w:rsid w:val="C58D8478"/>
    <w:rsid w:val="CBBB9804"/>
    <w:rsid w:val="CDFF9A4A"/>
    <w:rsid w:val="CE7FDB29"/>
    <w:rsid w:val="CF7FF425"/>
    <w:rsid w:val="CFEDC07E"/>
    <w:rsid w:val="CFFED37B"/>
    <w:rsid w:val="D56F4E96"/>
    <w:rsid w:val="D6391A21"/>
    <w:rsid w:val="D9F95AA7"/>
    <w:rsid w:val="D9FFEDB1"/>
    <w:rsid w:val="DBCB9F57"/>
    <w:rsid w:val="DCBB784A"/>
    <w:rsid w:val="DDB7B062"/>
    <w:rsid w:val="DDFB3459"/>
    <w:rsid w:val="DEFFA893"/>
    <w:rsid w:val="DFEBEBE7"/>
    <w:rsid w:val="DFEDB92C"/>
    <w:rsid w:val="DFFF24C9"/>
    <w:rsid w:val="DFFF366C"/>
    <w:rsid w:val="DFFF6FEA"/>
    <w:rsid w:val="E3F7A597"/>
    <w:rsid w:val="E677B40E"/>
    <w:rsid w:val="E7FD0FD0"/>
    <w:rsid w:val="EA7DB380"/>
    <w:rsid w:val="EBA7D15B"/>
    <w:rsid w:val="EBD73E42"/>
    <w:rsid w:val="ECCF23B5"/>
    <w:rsid w:val="ECF961E5"/>
    <w:rsid w:val="EDFB9653"/>
    <w:rsid w:val="EEF959AC"/>
    <w:rsid w:val="EF562DDF"/>
    <w:rsid w:val="EFAC6FC1"/>
    <w:rsid w:val="EFDE84E2"/>
    <w:rsid w:val="EFFDD4A5"/>
    <w:rsid w:val="EFFF471C"/>
    <w:rsid w:val="F2FB7AEF"/>
    <w:rsid w:val="F3DF58F3"/>
    <w:rsid w:val="F67F9978"/>
    <w:rsid w:val="F6E7B536"/>
    <w:rsid w:val="F739A739"/>
    <w:rsid w:val="F77F3BD5"/>
    <w:rsid w:val="F7DEF67A"/>
    <w:rsid w:val="F7E541A9"/>
    <w:rsid w:val="F7EDD55D"/>
    <w:rsid w:val="F7FF532E"/>
    <w:rsid w:val="F832E038"/>
    <w:rsid w:val="F86E657C"/>
    <w:rsid w:val="FAFD6990"/>
    <w:rsid w:val="FB7D1F43"/>
    <w:rsid w:val="FBDBD40A"/>
    <w:rsid w:val="FBDF5208"/>
    <w:rsid w:val="FBEFE8CD"/>
    <w:rsid w:val="FBFB6039"/>
    <w:rsid w:val="FCDF2E0F"/>
    <w:rsid w:val="FCEF2DFC"/>
    <w:rsid w:val="FD7DBC13"/>
    <w:rsid w:val="FDF56A40"/>
    <w:rsid w:val="FE6BD99B"/>
    <w:rsid w:val="FE794EFD"/>
    <w:rsid w:val="FEBF64BF"/>
    <w:rsid w:val="FEFFC2C1"/>
    <w:rsid w:val="FF737E29"/>
    <w:rsid w:val="FF7E4485"/>
    <w:rsid w:val="FF7E5EC1"/>
    <w:rsid w:val="FF8CA33A"/>
    <w:rsid w:val="FF9D1503"/>
    <w:rsid w:val="FFAE6B3B"/>
    <w:rsid w:val="FFBD07D8"/>
    <w:rsid w:val="FFBEA6A1"/>
    <w:rsid w:val="FFE64687"/>
    <w:rsid w:val="FFE6BF8A"/>
    <w:rsid w:val="FFEB1781"/>
    <w:rsid w:val="FFEF9E55"/>
    <w:rsid w:val="FFFB27A6"/>
    <w:rsid w:val="FFFB763E"/>
    <w:rsid w:val="FFFBAD75"/>
    <w:rsid w:val="FFFBB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 正文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楷体_GB2312" w:cs="Times New Roman"/>
      <w:kern w:val="2"/>
      <w:sz w:val="32"/>
      <w:szCs w:val="24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calendar-head__year-range"/>
    <w:basedOn w:val="5"/>
    <w:qFormat/>
    <w:uiPriority w:val="0"/>
    <w:rPr>
      <w:vanish/>
    </w:rPr>
  </w:style>
  <w:style w:type="character" w:customStyle="1" w:styleId="11">
    <w:name w:val="active4"/>
    <w:basedOn w:val="5"/>
    <w:qFormat/>
    <w:uiPriority w:val="0"/>
    <w:rPr>
      <w:color w:val="333333"/>
    </w:rPr>
  </w:style>
  <w:style w:type="character" w:customStyle="1" w:styleId="12">
    <w:name w:val="hover2"/>
    <w:basedOn w:val="5"/>
    <w:qFormat/>
    <w:uiPriority w:val="0"/>
    <w:rPr>
      <w:color w:val="2F6EA2"/>
    </w:rPr>
  </w:style>
  <w:style w:type="character" w:customStyle="1" w:styleId="13">
    <w:name w:val="calendar-head__next-month-btn"/>
    <w:basedOn w:val="5"/>
    <w:qFormat/>
    <w:uiPriority w:val="0"/>
  </w:style>
  <w:style w:type="character" w:customStyle="1" w:styleId="14">
    <w:name w:val="calendar-head__prev-range-btn"/>
    <w:basedOn w:val="5"/>
    <w:qFormat/>
    <w:uiPriority w:val="0"/>
    <w:rPr>
      <w:vanish/>
    </w:rPr>
  </w:style>
  <w:style w:type="character" w:customStyle="1" w:styleId="15">
    <w:name w:val="calendar-head__text-display"/>
    <w:basedOn w:val="5"/>
    <w:qFormat/>
    <w:uiPriority w:val="0"/>
    <w:rPr>
      <w:vanish/>
    </w:rPr>
  </w:style>
  <w:style w:type="character" w:customStyle="1" w:styleId="16">
    <w:name w:val="calendar-head__next-range-btn"/>
    <w:basedOn w:val="5"/>
    <w:qFormat/>
    <w:uiPriority w:val="0"/>
    <w:rPr>
      <w:vanish/>
    </w:rPr>
  </w:style>
  <w:style w:type="character" w:customStyle="1" w:styleId="17">
    <w:name w:val="calendar-head__next-year-bt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Administrator.USER-20161003FP</dc:creator>
  <cp:lastModifiedBy>fushunshi</cp:lastModifiedBy>
  <cp:lastPrinted>2021-01-16T18:30:00Z</cp:lastPrinted>
  <dcterms:modified xsi:type="dcterms:W3CDTF">2022-01-04T12:26:09Z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