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44"/>
          <w:szCs w:val="44"/>
        </w:rPr>
      </w:pPr>
    </w:p>
    <w:p>
      <w:pPr>
        <w:jc w:val="center"/>
        <w:rPr>
          <w:rFonts w:ascii="宋体" w:hAnsi="宋体" w:eastAsia="宋体" w:cs="宋体"/>
          <w:sz w:val="44"/>
          <w:szCs w:val="44"/>
        </w:rPr>
      </w:pPr>
      <w:r>
        <w:rPr>
          <w:rFonts w:hint="eastAsia" w:ascii="宋体" w:hAnsi="宋体" w:eastAsia="宋体" w:cs="宋体"/>
          <w:sz w:val="44"/>
          <w:szCs w:val="44"/>
        </w:rPr>
        <w:t>大连市工业和信息化行政处罚</w:t>
      </w:r>
    </w:p>
    <w:p>
      <w:pPr>
        <w:jc w:val="center"/>
        <w:rPr>
          <w:rFonts w:ascii="宋体" w:hAnsi="宋体" w:eastAsia="宋体" w:cs="宋体"/>
          <w:sz w:val="44"/>
          <w:szCs w:val="44"/>
        </w:rPr>
      </w:pPr>
      <w:r>
        <w:rPr>
          <w:rFonts w:hint="eastAsia" w:ascii="宋体" w:hAnsi="宋体" w:eastAsia="宋体" w:cs="宋体"/>
          <w:sz w:val="44"/>
          <w:szCs w:val="44"/>
        </w:rPr>
        <w:t>裁量权控制办法</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第一条</w:t>
      </w:r>
      <w:r>
        <w:rPr>
          <w:rFonts w:hint="eastAsia" w:ascii="仿宋" w:hAnsi="仿宋" w:eastAsia="仿宋" w:cs="仿宋"/>
          <w:sz w:val="32"/>
          <w:szCs w:val="32"/>
        </w:rPr>
        <w:t xml:space="preserve">  为进一步规范我市工业和信息化行政处罚裁量权，切实提高依法行政能力和水平，确保行政处罚合理、适当，根据《中华人民共和国行政处罚法》等相关法律、法规和规章及相关规定，制定本办法。</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第二条</w:t>
      </w:r>
      <w:r>
        <w:rPr>
          <w:rFonts w:hint="eastAsia" w:ascii="仿宋" w:hAnsi="仿宋" w:eastAsia="仿宋" w:cs="仿宋"/>
          <w:sz w:val="32"/>
          <w:szCs w:val="32"/>
        </w:rPr>
        <w:t xml:space="preserve">  行政处罚裁量基准制度，是根据当事人违法行为的事实、性质、情节以及社会危害程度等因素，依据法律、法规、规章所规定的处罚幅度，按照合法合理、公平公正、过罚相当的原则，进行合理细化和分解，以此约束裁量空间，防止执法随意化，真正体现依法行政、执法为民的理念。</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第三条</w:t>
      </w:r>
      <w:r>
        <w:rPr>
          <w:rFonts w:hint="eastAsia" w:ascii="仿宋" w:hAnsi="仿宋" w:eastAsia="仿宋" w:cs="仿宋"/>
          <w:sz w:val="32"/>
          <w:szCs w:val="32"/>
        </w:rPr>
        <w:t xml:space="preserve">  正确行使处罚裁量权应当遵循的基本原则：</w:t>
      </w:r>
    </w:p>
    <w:p>
      <w:pPr>
        <w:ind w:firstLine="646" w:firstLineChars="200"/>
        <w:rPr>
          <w:rFonts w:ascii="仿宋" w:hAnsi="仿宋" w:eastAsia="仿宋" w:cs="仿宋"/>
          <w:sz w:val="32"/>
          <w:szCs w:val="32"/>
        </w:rPr>
      </w:pPr>
      <w:r>
        <w:rPr>
          <w:rFonts w:hint="eastAsia" w:ascii="仿宋" w:hAnsi="仿宋" w:eastAsia="仿宋" w:cs="仿宋"/>
          <w:sz w:val="32"/>
          <w:szCs w:val="32"/>
        </w:rPr>
        <w:t>(一)公正公开原则。工业和信息化行政管理机关行使处罚裁量权时，应当平等对待每一个被处罚的当事人，不得以案件事实以外的因素差别对待当事人。对违法事实、性质、情节、社会危害程度等因素基本相同的违法当事人实施行政处罚时，适用的法律依据、处罚种类和幅度应当基本一致。</w:t>
      </w:r>
    </w:p>
    <w:p>
      <w:pPr>
        <w:ind w:firstLine="646" w:firstLineChars="200"/>
        <w:rPr>
          <w:rFonts w:ascii="仿宋" w:hAnsi="仿宋" w:eastAsia="仿宋" w:cs="仿宋"/>
          <w:sz w:val="32"/>
          <w:szCs w:val="32"/>
        </w:rPr>
      </w:pPr>
      <w:r>
        <w:rPr>
          <w:rFonts w:hint="eastAsia" w:ascii="仿宋" w:hAnsi="仿宋" w:eastAsia="仿宋" w:cs="仿宋"/>
          <w:sz w:val="32"/>
          <w:szCs w:val="32"/>
        </w:rPr>
        <w:t>(二)过罚相当原则。工业和信息化行政管理机关行使处罚裁量权时，必须以事实为依据，与违法行为的事实、性质、情节以及社会危害程度等相当。禁止处罚畸轻畸重、重责轻罚、轻责重罚。</w:t>
      </w:r>
    </w:p>
    <w:p>
      <w:pPr>
        <w:ind w:firstLine="646" w:firstLineChars="200"/>
        <w:rPr>
          <w:rFonts w:ascii="仿宋" w:hAnsi="仿宋" w:eastAsia="仿宋" w:cs="仿宋"/>
          <w:sz w:val="32"/>
          <w:szCs w:val="32"/>
        </w:rPr>
      </w:pPr>
      <w:r>
        <w:rPr>
          <w:rFonts w:hint="eastAsia" w:ascii="仿宋" w:hAnsi="仿宋" w:eastAsia="仿宋" w:cs="仿宋"/>
          <w:sz w:val="32"/>
          <w:szCs w:val="32"/>
        </w:rPr>
        <w:t>(三)处罚与教育相结合原则。工业和信息化行政管理机关在行使处罚裁量权时，既要制裁违法行为，又要教育当事人自觉遵守法律。行政处罚应当符合法律目的，所采取的措施和手段应当必要、适当。</w:t>
      </w:r>
    </w:p>
    <w:p>
      <w:pPr>
        <w:ind w:firstLine="646" w:firstLineChars="200"/>
        <w:rPr>
          <w:rFonts w:ascii="仿宋" w:hAnsi="仿宋" w:eastAsia="仿宋" w:cs="仿宋"/>
          <w:sz w:val="32"/>
          <w:szCs w:val="32"/>
        </w:rPr>
      </w:pPr>
      <w:r>
        <w:rPr>
          <w:rFonts w:hint="eastAsia" w:ascii="仿宋" w:hAnsi="仿宋" w:eastAsia="仿宋" w:cs="仿宋"/>
          <w:sz w:val="32"/>
          <w:szCs w:val="32"/>
        </w:rPr>
        <w:t>(四)程序正当原则。工业和信息化行政管理机关在行使处罚裁量权时，必须遵循法定的程序，充分听取当事人的意见，依法保障当事人的知情权、申辩权和救济权。</w:t>
      </w:r>
    </w:p>
    <w:p>
      <w:pPr>
        <w:ind w:firstLine="646" w:firstLineChars="200"/>
        <w:rPr>
          <w:rFonts w:ascii="仿宋" w:hAnsi="仿宋" w:eastAsia="仿宋" w:cs="仿宋"/>
          <w:sz w:val="32"/>
          <w:szCs w:val="32"/>
        </w:rPr>
      </w:pPr>
      <w:r>
        <w:rPr>
          <w:rFonts w:hint="eastAsia" w:ascii="仿宋" w:hAnsi="仿宋" w:eastAsia="仿宋" w:cs="仿宋"/>
          <w:sz w:val="32"/>
          <w:szCs w:val="32"/>
        </w:rPr>
        <w:t>(五)综合裁量原则。工业和信息化管理机关在行使处罚裁量权时，要综合、全面考虑案件的主体、客体、主观、客观及社会危害性等具体情况进行裁量，不能偏执一端，片面考虑某一情节对当事人进行行政处罚。</w:t>
      </w:r>
    </w:p>
    <w:p>
      <w:pPr>
        <w:ind w:firstLine="646" w:firstLineChars="200"/>
        <w:rPr>
          <w:rFonts w:ascii="仿宋" w:hAnsi="仿宋" w:eastAsia="仿宋" w:cs="仿宋"/>
          <w:sz w:val="32"/>
          <w:szCs w:val="32"/>
        </w:rPr>
      </w:pPr>
      <w:r>
        <w:rPr>
          <w:rFonts w:hint="eastAsia" w:ascii="仿宋" w:hAnsi="仿宋" w:eastAsia="仿宋" w:cs="仿宋"/>
          <w:sz w:val="32"/>
          <w:szCs w:val="32"/>
        </w:rPr>
        <w:t>(六)参照先例原则。工业和信息化管理机关在行使处罚裁量权时，要参照一定时期内本行政机关对同类违法行为已经作出的行政处罚先例。</w:t>
      </w:r>
    </w:p>
    <w:p>
      <w:pPr>
        <w:ind w:firstLine="646"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行使处罚裁量权适用先例原则的对象，应当是事实、性质、情节、社会危害程度和行政管理相对人主观过错相同或相似的违法行为。适用先例原则的结果，应当使相同或相似的违法行为受到的行政处罚的种类、幅度以及程序一致或基本一致。</w:t>
      </w:r>
    </w:p>
    <w:p>
      <w:pPr>
        <w:ind w:firstLine="646"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同一违法行为违反了不同法律规范的，在适用法律时应当遵循下列原则：</w:t>
      </w:r>
    </w:p>
    <w:p>
      <w:pPr>
        <w:ind w:firstLine="646" w:firstLineChars="200"/>
        <w:rPr>
          <w:rFonts w:ascii="仿宋" w:hAnsi="仿宋" w:eastAsia="仿宋" w:cs="仿宋"/>
          <w:sz w:val="32"/>
          <w:szCs w:val="32"/>
        </w:rPr>
      </w:pPr>
      <w:r>
        <w:rPr>
          <w:rFonts w:hint="eastAsia" w:ascii="仿宋" w:hAnsi="仿宋" w:eastAsia="仿宋" w:cs="仿宋"/>
          <w:sz w:val="32"/>
          <w:szCs w:val="32"/>
        </w:rPr>
        <w:t>（一）下位法服从上位法，上位法律规范优先适用；</w:t>
      </w:r>
    </w:p>
    <w:p>
      <w:pPr>
        <w:ind w:firstLine="646" w:firstLineChars="200"/>
        <w:rPr>
          <w:rFonts w:ascii="仿宋" w:hAnsi="仿宋" w:eastAsia="仿宋" w:cs="仿宋"/>
          <w:sz w:val="32"/>
          <w:szCs w:val="32"/>
        </w:rPr>
      </w:pPr>
      <w:r>
        <w:rPr>
          <w:rFonts w:hint="eastAsia" w:ascii="仿宋" w:hAnsi="仿宋" w:eastAsia="仿宋" w:cs="仿宋"/>
          <w:sz w:val="32"/>
          <w:szCs w:val="32"/>
        </w:rPr>
        <w:t>（二）同位法律规范有特别规定的优先适用；</w:t>
      </w:r>
    </w:p>
    <w:p>
      <w:pPr>
        <w:ind w:firstLine="646" w:firstLineChars="200"/>
        <w:rPr>
          <w:rFonts w:ascii="仿宋" w:hAnsi="仿宋" w:eastAsia="仿宋" w:cs="仿宋"/>
          <w:sz w:val="32"/>
          <w:szCs w:val="32"/>
        </w:rPr>
      </w:pPr>
      <w:r>
        <w:rPr>
          <w:rFonts w:hint="eastAsia" w:ascii="仿宋" w:hAnsi="仿宋" w:eastAsia="仿宋" w:cs="仿宋"/>
          <w:sz w:val="32"/>
          <w:szCs w:val="32"/>
        </w:rPr>
        <w:t>（三）同位法律规范生效时间在后的优先适用。</w:t>
      </w:r>
    </w:p>
    <w:p>
      <w:pPr>
        <w:ind w:firstLine="646"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当事人有下列情形之一的，依法不予行政处罚：</w:t>
      </w:r>
    </w:p>
    <w:p>
      <w:pPr>
        <w:ind w:firstLine="646" w:firstLineChars="200"/>
        <w:rPr>
          <w:rFonts w:hint="eastAsia" w:ascii="仿宋" w:hAnsi="仿宋" w:eastAsia="仿宋" w:cs="仿宋"/>
          <w:sz w:val="32"/>
          <w:szCs w:val="32"/>
          <w:lang w:eastAsia="zh-CN"/>
        </w:rPr>
      </w:pPr>
      <w:r>
        <w:rPr>
          <w:rFonts w:hint="eastAsia" w:ascii="仿宋" w:hAnsi="仿宋" w:eastAsia="仿宋" w:cs="仿宋"/>
          <w:sz w:val="32"/>
          <w:szCs w:val="32"/>
        </w:rPr>
        <w:t>（一）违法行为轻微并及时纠正，没有造成危害后果的</w:t>
      </w:r>
      <w:r>
        <w:rPr>
          <w:rFonts w:hint="eastAsia" w:ascii="仿宋" w:hAnsi="仿宋" w:eastAsia="仿宋" w:cs="仿宋"/>
          <w:sz w:val="32"/>
          <w:szCs w:val="32"/>
          <w:lang w:eastAsia="zh-CN"/>
        </w:rPr>
        <w:t>；</w:t>
      </w:r>
    </w:p>
    <w:p>
      <w:pPr>
        <w:ind w:firstLine="646" w:firstLineChars="200"/>
        <w:rPr>
          <w:rFonts w:ascii="仿宋" w:hAnsi="仿宋" w:eastAsia="仿宋" w:cs="仿宋"/>
          <w:sz w:val="32"/>
          <w:szCs w:val="32"/>
        </w:rPr>
      </w:pPr>
      <w:r>
        <w:rPr>
          <w:rFonts w:hint="eastAsia" w:ascii="仿宋" w:hAnsi="仿宋" w:eastAsia="仿宋" w:cs="仿宋"/>
          <w:sz w:val="32"/>
          <w:szCs w:val="32"/>
        </w:rPr>
        <w:t>（二）违法行为轻微，依法可以不予行政处罚的；</w:t>
      </w:r>
    </w:p>
    <w:p>
      <w:pPr>
        <w:ind w:firstLine="646" w:firstLineChars="200"/>
        <w:rPr>
          <w:rFonts w:ascii="仿宋" w:hAnsi="仿宋" w:eastAsia="仿宋" w:cs="仿宋"/>
          <w:sz w:val="32"/>
          <w:szCs w:val="32"/>
        </w:rPr>
      </w:pPr>
      <w:r>
        <w:rPr>
          <w:rFonts w:hint="eastAsia" w:ascii="仿宋" w:hAnsi="仿宋" w:eastAsia="仿宋" w:cs="仿宋"/>
          <w:sz w:val="32"/>
          <w:szCs w:val="32"/>
        </w:rPr>
        <w:t>（三）不满14周岁的人有违法行为的；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（四）精神病人在不能辨认或者不能控制自己行为时有违法行为的；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（五）其他依法不予行政处罚的。</w:t>
      </w:r>
    </w:p>
    <w:p>
      <w:pPr>
        <w:ind w:firstLine="646"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当事人有下列情形之一的，可在法律、法规、规章规定的范围内降低一个阶次从轻或减轻行政处罚：</w:t>
      </w:r>
    </w:p>
    <w:p>
      <w:pPr>
        <w:ind w:firstLine="646" w:firstLineChars="200"/>
        <w:rPr>
          <w:rFonts w:ascii="仿宋" w:hAnsi="仿宋" w:eastAsia="仿宋" w:cs="仿宋"/>
          <w:sz w:val="32"/>
          <w:szCs w:val="32"/>
        </w:rPr>
      </w:pPr>
      <w:r>
        <w:rPr>
          <w:rFonts w:hint="eastAsia" w:ascii="仿宋" w:hAnsi="仿宋" w:eastAsia="仿宋" w:cs="仿宋"/>
          <w:sz w:val="32"/>
          <w:szCs w:val="32"/>
        </w:rPr>
        <w:t>（一）主动消除或者减轻违法行为危害后果的；</w:t>
      </w:r>
    </w:p>
    <w:p>
      <w:pPr>
        <w:ind w:firstLine="646" w:firstLineChars="200"/>
        <w:rPr>
          <w:rFonts w:ascii="仿宋" w:hAnsi="仿宋" w:eastAsia="仿宋" w:cs="仿宋"/>
          <w:sz w:val="32"/>
          <w:szCs w:val="32"/>
        </w:rPr>
      </w:pPr>
      <w:r>
        <w:rPr>
          <w:rFonts w:hint="eastAsia" w:ascii="仿宋" w:hAnsi="仿宋" w:eastAsia="仿宋" w:cs="仿宋"/>
          <w:sz w:val="32"/>
          <w:szCs w:val="32"/>
        </w:rPr>
        <w:t>（二）受他人胁迫实施违法行为的；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（三）配合行政机关查处违法行为有立功表现的；</w:t>
      </w:r>
    </w:p>
    <w:p>
      <w:pPr>
        <w:ind w:firstLine="646" w:firstLineChars="200"/>
        <w:rPr>
          <w:rFonts w:ascii="仿宋" w:hAnsi="仿宋" w:eastAsia="仿宋" w:cs="仿宋"/>
          <w:sz w:val="32"/>
          <w:szCs w:val="32"/>
        </w:rPr>
      </w:pPr>
      <w:r>
        <w:rPr>
          <w:rFonts w:hint="eastAsia" w:ascii="仿宋" w:hAnsi="仿宋" w:eastAsia="仿宋" w:cs="仿宋"/>
          <w:sz w:val="32"/>
          <w:szCs w:val="32"/>
        </w:rPr>
        <w:t>（四）已满14周岁不满18周岁的人实施违法行为的。</w:t>
      </w:r>
    </w:p>
    <w:p>
      <w:pPr>
        <w:ind w:firstLine="646"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当事人有下列情形之一的，可以在法律、法规、规章规定的范围内降低一个阶次从轻行政处罚：</w:t>
      </w:r>
    </w:p>
    <w:p>
      <w:pPr>
        <w:ind w:firstLine="646" w:firstLineChars="200"/>
        <w:rPr>
          <w:rFonts w:ascii="仿宋" w:hAnsi="仿宋" w:eastAsia="仿宋" w:cs="仿宋"/>
          <w:sz w:val="32"/>
          <w:szCs w:val="32"/>
        </w:rPr>
      </w:pPr>
      <w:r>
        <w:rPr>
          <w:rFonts w:hint="eastAsia" w:ascii="仿宋" w:hAnsi="仿宋" w:eastAsia="仿宋" w:cs="仿宋"/>
          <w:sz w:val="32"/>
          <w:szCs w:val="32"/>
        </w:rPr>
        <w:t>（一）能够主动改正或者及时中止违法行为的；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（二）违法行为社会危害性较小或者尚未产生社会危害后果的；</w:t>
      </w:r>
    </w:p>
    <w:p>
      <w:pPr>
        <w:ind w:firstLine="646" w:firstLineChars="200"/>
        <w:rPr>
          <w:rFonts w:ascii="仿宋" w:hAnsi="仿宋" w:eastAsia="仿宋" w:cs="仿宋"/>
          <w:sz w:val="32"/>
          <w:szCs w:val="32"/>
        </w:rPr>
      </w:pPr>
      <w:r>
        <w:rPr>
          <w:rFonts w:hint="eastAsia" w:ascii="仿宋" w:hAnsi="仿宋" w:eastAsia="仿宋" w:cs="仿宋"/>
          <w:sz w:val="32"/>
          <w:szCs w:val="32"/>
        </w:rPr>
        <w:t>（三）在共同违法行为中起次要或者辅助作用的；</w:t>
      </w:r>
    </w:p>
    <w:p>
      <w:pPr>
        <w:ind w:firstLine="646" w:firstLineChars="200"/>
        <w:rPr>
          <w:rFonts w:ascii="仿宋" w:hAnsi="仿宋" w:eastAsia="仿宋" w:cs="仿宋"/>
          <w:sz w:val="32"/>
          <w:szCs w:val="32"/>
        </w:rPr>
      </w:pPr>
      <w:r>
        <w:rPr>
          <w:rFonts w:hint="eastAsia" w:ascii="仿宋" w:hAnsi="仿宋" w:eastAsia="仿宋" w:cs="仿宋"/>
          <w:sz w:val="32"/>
          <w:szCs w:val="32"/>
        </w:rPr>
        <w:t>（四）因残疾或者下岗失业等原因，生活确实困难的人有违法行为的。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有从轻处罚情节的，应当在法定处罚幅度内选择较低限额确定处罚标准，但不得低于处罚幅度所设定的最低处罚标准。</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第九条</w:t>
      </w:r>
      <w:r>
        <w:rPr>
          <w:rFonts w:hint="eastAsia" w:ascii="仿宋" w:hAnsi="仿宋" w:eastAsia="仿宋" w:cs="仿宋"/>
          <w:sz w:val="32"/>
          <w:szCs w:val="32"/>
        </w:rPr>
        <w:t xml:space="preserve">  当事人有下列情形之一的，可在法律、法规、规章规定的范围内提升一个阶次从重行政处罚：</w:t>
      </w:r>
    </w:p>
    <w:p>
      <w:pPr>
        <w:ind w:firstLine="646" w:firstLineChars="200"/>
        <w:rPr>
          <w:rFonts w:ascii="仿宋" w:hAnsi="仿宋" w:eastAsia="仿宋" w:cs="仿宋"/>
          <w:sz w:val="32"/>
          <w:szCs w:val="32"/>
        </w:rPr>
      </w:pPr>
      <w:r>
        <w:rPr>
          <w:rFonts w:hint="eastAsia" w:ascii="仿宋" w:hAnsi="仿宋" w:eastAsia="仿宋" w:cs="仿宋"/>
          <w:sz w:val="32"/>
          <w:szCs w:val="32"/>
        </w:rPr>
        <w:t>（一）不听劝阻、多次实施违法行为，或者在违法行为被处罚后继续实施同一违法行为、屡教不改的；</w:t>
      </w:r>
    </w:p>
    <w:p>
      <w:pPr>
        <w:ind w:firstLine="646" w:firstLineChars="200"/>
        <w:rPr>
          <w:rFonts w:ascii="仿宋" w:hAnsi="仿宋" w:eastAsia="仿宋" w:cs="仿宋"/>
          <w:sz w:val="32"/>
          <w:szCs w:val="32"/>
        </w:rPr>
      </w:pPr>
      <w:r>
        <w:rPr>
          <w:rFonts w:hint="eastAsia" w:ascii="仿宋" w:hAnsi="仿宋" w:eastAsia="仿宋" w:cs="仿宋"/>
          <w:sz w:val="32"/>
          <w:szCs w:val="32"/>
        </w:rPr>
        <w:t>（二）在执法机关对违法行为进行调查取证过程中，故意隐瞒事实，弄虚作假，隐匿、销毁违法行为证据的；</w:t>
      </w:r>
    </w:p>
    <w:p>
      <w:pPr>
        <w:ind w:firstLine="646" w:firstLineChars="200"/>
        <w:rPr>
          <w:rFonts w:ascii="仿宋" w:hAnsi="仿宋" w:eastAsia="仿宋" w:cs="仿宋"/>
          <w:sz w:val="32"/>
          <w:szCs w:val="32"/>
        </w:rPr>
      </w:pPr>
      <w:r>
        <w:rPr>
          <w:rFonts w:hint="eastAsia" w:ascii="仿宋" w:hAnsi="仿宋" w:eastAsia="仿宋" w:cs="仿宋"/>
          <w:sz w:val="32"/>
          <w:szCs w:val="32"/>
        </w:rPr>
        <w:t>（三）胁迫、诱骗、教唆他人实施违法行为的；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（四）两个以上结伙实施违法行为，在其中起主要作用的；</w:t>
      </w:r>
    </w:p>
    <w:p>
      <w:pPr>
        <w:ind w:firstLine="646" w:firstLineChars="200"/>
        <w:rPr>
          <w:rFonts w:ascii="仿宋" w:hAnsi="仿宋" w:eastAsia="仿宋" w:cs="仿宋"/>
          <w:sz w:val="32"/>
          <w:szCs w:val="32"/>
        </w:rPr>
      </w:pPr>
      <w:r>
        <w:rPr>
          <w:rFonts w:hint="eastAsia" w:ascii="仿宋" w:hAnsi="仿宋" w:eastAsia="仿宋" w:cs="仿宋"/>
          <w:sz w:val="32"/>
          <w:szCs w:val="32"/>
        </w:rPr>
        <w:t>（五）其他法定的应当依法从重处罚的情节。</w:t>
      </w:r>
    </w:p>
    <w:p>
      <w:pPr>
        <w:ind w:firstLine="646" w:firstLineChars="200"/>
        <w:rPr>
          <w:rFonts w:ascii="仿宋" w:hAnsi="仿宋" w:eastAsia="仿宋" w:cs="仿宋"/>
          <w:sz w:val="32"/>
          <w:szCs w:val="32"/>
        </w:rPr>
      </w:pPr>
      <w:r>
        <w:rPr>
          <w:rFonts w:hint="eastAsia" w:ascii="仿宋" w:hAnsi="仿宋" w:eastAsia="仿宋" w:cs="仿宋"/>
          <w:sz w:val="32"/>
          <w:szCs w:val="32"/>
        </w:rPr>
        <w:t>有从重处罚情节的，应当在法定处罚幅度内选择较高限额确定处罚标准，但不得高于处罚幅度所设定的最高处罚标准。</w:t>
      </w:r>
    </w:p>
    <w:p>
      <w:pPr>
        <w:ind w:firstLine="646"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当事人有下列情形之一的，可在法律、法规、规章规定的范围内按最高阶次进行行政处罚：</w:t>
      </w:r>
    </w:p>
    <w:p>
      <w:pPr>
        <w:ind w:firstLine="646" w:firstLineChars="200"/>
        <w:rPr>
          <w:rFonts w:ascii="仿宋" w:hAnsi="仿宋" w:eastAsia="仿宋" w:cs="仿宋"/>
          <w:sz w:val="32"/>
          <w:szCs w:val="32"/>
        </w:rPr>
      </w:pPr>
      <w:r>
        <w:rPr>
          <w:rFonts w:hint="eastAsia" w:ascii="仿宋" w:hAnsi="仿宋" w:eastAsia="仿宋" w:cs="仿宋"/>
          <w:sz w:val="32"/>
          <w:szCs w:val="32"/>
        </w:rPr>
        <w:t>（一）危及国家安全、公共安全、人身健康和生命财产安全或者严重扰乱社会管理秩序、市场秩序的违法行为；</w:t>
      </w:r>
    </w:p>
    <w:p>
      <w:pPr>
        <w:ind w:firstLine="646" w:firstLineChars="200"/>
        <w:rPr>
          <w:rFonts w:ascii="仿宋" w:hAnsi="仿宋" w:eastAsia="仿宋" w:cs="仿宋"/>
          <w:sz w:val="32"/>
          <w:szCs w:val="32"/>
        </w:rPr>
      </w:pPr>
      <w:r>
        <w:rPr>
          <w:rFonts w:hint="eastAsia" w:ascii="仿宋" w:hAnsi="仿宋" w:eastAsia="仿宋" w:cs="仿宋"/>
          <w:sz w:val="32"/>
          <w:szCs w:val="32"/>
        </w:rPr>
        <w:t>（二）抗拒检查、妨碍公务、暴力抗法等尚未构成犯罪的；</w:t>
      </w:r>
    </w:p>
    <w:p>
      <w:pPr>
        <w:ind w:firstLine="646" w:firstLineChars="200"/>
        <w:rPr>
          <w:rFonts w:ascii="仿宋" w:hAnsi="仿宋" w:eastAsia="仿宋" w:cs="仿宋"/>
          <w:sz w:val="32"/>
          <w:szCs w:val="32"/>
        </w:rPr>
      </w:pPr>
      <w:r>
        <w:rPr>
          <w:rFonts w:hint="eastAsia" w:ascii="仿宋" w:hAnsi="仿宋" w:eastAsia="仿宋" w:cs="仿宋"/>
          <w:sz w:val="32"/>
          <w:szCs w:val="32"/>
        </w:rPr>
        <w:t>（三）伪造、涂改、使用假证、假手续，违法情节严重的；</w:t>
      </w:r>
    </w:p>
    <w:p>
      <w:pPr>
        <w:ind w:firstLine="646" w:firstLineChars="200"/>
        <w:rPr>
          <w:rFonts w:ascii="仿宋" w:hAnsi="仿宋" w:eastAsia="仿宋" w:cs="仿宋"/>
          <w:sz w:val="32"/>
          <w:szCs w:val="32"/>
        </w:rPr>
      </w:pPr>
      <w:r>
        <w:rPr>
          <w:rFonts w:hint="eastAsia" w:ascii="仿宋" w:hAnsi="仿宋" w:eastAsia="仿宋" w:cs="仿宋"/>
          <w:sz w:val="32"/>
          <w:szCs w:val="32"/>
        </w:rPr>
        <w:t>（四）有悖于党和国家方针、政策规定的阶段工作重点的违法行为的；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（五）对检举人、举报人或行政执法人员实施打击报复，查证属实的；</w:t>
      </w:r>
    </w:p>
    <w:p>
      <w:pPr>
        <w:ind w:firstLine="646" w:firstLineChars="200"/>
        <w:rPr>
          <w:rFonts w:ascii="仿宋" w:hAnsi="仿宋" w:eastAsia="仿宋" w:cs="仿宋"/>
          <w:sz w:val="32"/>
          <w:szCs w:val="32"/>
        </w:rPr>
      </w:pPr>
      <w:r>
        <w:rPr>
          <w:rFonts w:hint="eastAsia" w:ascii="仿宋" w:hAnsi="仿宋" w:eastAsia="仿宋" w:cs="仿宋"/>
          <w:sz w:val="32"/>
          <w:szCs w:val="32"/>
        </w:rPr>
        <w:t>（六）严重危害食品安全的违法行为，以及坑农害农等严重损害农民利益的违法行为的。</w:t>
      </w:r>
    </w:p>
    <w:p>
      <w:pPr>
        <w:ind w:firstLine="646" w:firstLineChars="200"/>
        <w:rPr>
          <w:rFonts w:ascii="仿宋" w:hAnsi="仿宋" w:eastAsia="仿宋" w:cs="仿宋"/>
          <w:sz w:val="32"/>
          <w:szCs w:val="32"/>
        </w:rPr>
      </w:pPr>
      <w:r>
        <w:rPr>
          <w:rFonts w:hint="eastAsia" w:ascii="仿宋" w:hAnsi="仿宋" w:eastAsia="仿宋" w:cs="仿宋"/>
          <w:sz w:val="32"/>
          <w:szCs w:val="32"/>
        </w:rPr>
        <w:t>违法行为构成犯罪的，应当依法移送司法机关追究当事人的刑事责任，不得以行政处罚代替刑事处罚。</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第十一条</w:t>
      </w:r>
      <w:r>
        <w:rPr>
          <w:rFonts w:hint="eastAsia" w:ascii="仿宋" w:hAnsi="仿宋" w:eastAsia="仿宋" w:cs="仿宋"/>
          <w:sz w:val="32"/>
          <w:szCs w:val="32"/>
        </w:rPr>
        <w:t xml:space="preserve">  工业和信息化行政管理机关在实施行政处罚时，应当按照本办法的规定，结合《大连市工业和信息化行政处罚裁量基准》正确行使行政处罚裁量权。</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第十二条</w:t>
      </w:r>
      <w:r>
        <w:rPr>
          <w:rFonts w:hint="eastAsia" w:ascii="仿宋" w:hAnsi="仿宋" w:eastAsia="仿宋" w:cs="仿宋"/>
          <w:sz w:val="32"/>
          <w:szCs w:val="32"/>
        </w:rPr>
        <w:t xml:space="preserve">  本办法与新颁布、修订的法律、法规、规章规定不一致的，按新的规定执行。</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第十三条</w:t>
      </w:r>
      <w:r>
        <w:rPr>
          <w:rFonts w:hint="eastAsia" w:ascii="仿宋" w:hAnsi="仿宋" w:eastAsia="仿宋" w:cs="仿宋"/>
          <w:sz w:val="32"/>
          <w:szCs w:val="32"/>
        </w:rPr>
        <w:t xml:space="preserve">  工业和信息化行政管理机关应当定期对作出的行政处罚案件进行复查，发现自由裁量权行使不当的，应当主动纠正。并将处罚裁量行为纳入案卷评查、行政执法评议考核范围加强监督。</w:t>
      </w:r>
    </w:p>
    <w:p>
      <w:pPr>
        <w:ind w:firstLine="646"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有下列情形之一，构成行政处罚不当的，依照相关规定追究有关人员的相关责任：</w:t>
      </w:r>
    </w:p>
    <w:p>
      <w:pPr>
        <w:ind w:firstLine="646" w:firstLineChars="200"/>
        <w:rPr>
          <w:rFonts w:ascii="仿宋" w:hAnsi="仿宋" w:eastAsia="仿宋" w:cs="仿宋"/>
          <w:sz w:val="32"/>
          <w:szCs w:val="32"/>
        </w:rPr>
      </w:pPr>
      <w:r>
        <w:rPr>
          <w:rFonts w:hint="eastAsia" w:ascii="仿宋" w:hAnsi="仿宋" w:eastAsia="仿宋" w:cs="仿宋"/>
          <w:sz w:val="32"/>
          <w:szCs w:val="32"/>
        </w:rPr>
        <w:t>（一）因裁量权行使不当，行政处罚显失公正，造成行政处罚案件被人民法院判决变更的；</w:t>
      </w:r>
    </w:p>
    <w:p>
      <w:pPr>
        <w:ind w:firstLine="646" w:firstLineChars="200"/>
        <w:rPr>
          <w:rFonts w:ascii="仿宋" w:hAnsi="仿宋" w:eastAsia="仿宋" w:cs="仿宋"/>
          <w:sz w:val="32"/>
          <w:szCs w:val="32"/>
        </w:rPr>
      </w:pPr>
      <w:r>
        <w:rPr>
          <w:rFonts w:hint="eastAsia" w:ascii="仿宋" w:hAnsi="仿宋" w:eastAsia="仿宋" w:cs="仿宋"/>
          <w:sz w:val="32"/>
          <w:szCs w:val="32"/>
        </w:rPr>
        <w:t>（二）因裁量权行使不当，造成行政处罚案件被行政复议机关变更的；</w:t>
      </w:r>
    </w:p>
    <w:p>
      <w:pPr>
        <w:ind w:firstLine="646" w:firstLineChars="200"/>
        <w:rPr>
          <w:rFonts w:ascii="仿宋" w:hAnsi="仿宋" w:eastAsia="仿宋" w:cs="仿宋"/>
          <w:sz w:val="32"/>
          <w:szCs w:val="32"/>
        </w:rPr>
      </w:pPr>
      <w:r>
        <w:rPr>
          <w:rFonts w:hint="eastAsia" w:ascii="仿宋" w:hAnsi="仿宋" w:eastAsia="仿宋" w:cs="仿宋"/>
          <w:sz w:val="32"/>
          <w:szCs w:val="32"/>
        </w:rPr>
        <w:t>（三）行政处罚案件被上级相关部门确认为裁量权行使不当并提出批评指正的；</w:t>
      </w:r>
    </w:p>
    <w:p>
      <w:pPr>
        <w:ind w:firstLine="646" w:firstLineChars="200"/>
        <w:rPr>
          <w:rFonts w:ascii="仿宋" w:hAnsi="仿宋" w:eastAsia="仿宋" w:cs="仿宋"/>
          <w:sz w:val="32"/>
          <w:szCs w:val="32"/>
        </w:rPr>
      </w:pPr>
      <w:r>
        <w:rPr>
          <w:rFonts w:hint="eastAsia" w:ascii="仿宋" w:hAnsi="仿宋" w:eastAsia="仿宋" w:cs="仿宋"/>
          <w:sz w:val="32"/>
          <w:szCs w:val="32"/>
        </w:rPr>
        <w:t>（四）因裁量权行使不当，在社会上造成不良影响的；</w:t>
      </w:r>
    </w:p>
    <w:p>
      <w:pPr>
        <w:ind w:firstLine="646" w:firstLineChars="200"/>
        <w:rPr>
          <w:rFonts w:ascii="仿宋" w:hAnsi="仿宋" w:eastAsia="仿宋" w:cs="仿宋"/>
          <w:sz w:val="32"/>
          <w:szCs w:val="32"/>
        </w:rPr>
      </w:pPr>
      <w:r>
        <w:rPr>
          <w:rFonts w:hint="eastAsia" w:ascii="仿宋" w:hAnsi="仿宋" w:eastAsia="仿宋" w:cs="仿宋"/>
          <w:sz w:val="32"/>
          <w:szCs w:val="32"/>
        </w:rPr>
        <w:t>（五）违反自由裁量权先例原则，出现重责轻罚、轻责重罚、同案不同罚等滥用处罚裁量权行为的。</w:t>
      </w:r>
    </w:p>
    <w:p>
      <w:pPr>
        <w:ind w:firstLine="646" w:firstLineChars="200"/>
        <w:rPr>
          <w:rFonts w:ascii="仿宋" w:hAnsi="仿宋" w:eastAsia="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本办法由大连市工业和信息化局负责解释</w:t>
      </w:r>
      <w:r>
        <w:rPr>
          <w:rFonts w:hint="eastAsia" w:ascii="仿宋" w:hAnsi="仿宋" w:eastAsia="仿宋" w:cs="仿宋"/>
          <w:sz w:val="32"/>
          <w:szCs w:val="32"/>
          <w:lang w:eastAsia="zh-CN"/>
        </w:rPr>
        <w:t>，</w:t>
      </w:r>
      <w:r>
        <w:rPr>
          <w:rFonts w:hint="eastAsia" w:ascii="仿宋_GB2312" w:hAnsi="仿宋_GB2312" w:eastAsia="仿宋_GB2312" w:cs="仿宋_GB2312"/>
          <w:i w:val="0"/>
          <w:caps w:val="0"/>
          <w:color w:val="000000"/>
          <w:spacing w:val="0"/>
          <w:sz w:val="32"/>
          <w:szCs w:val="32"/>
        </w:rPr>
        <w:t>本</w:t>
      </w:r>
      <w:r>
        <w:rPr>
          <w:rFonts w:hint="eastAsia" w:ascii="仿宋_GB2312" w:hAnsi="仿宋_GB2312" w:eastAsia="仿宋_GB2312" w:cs="仿宋_GB2312"/>
          <w:i w:val="0"/>
          <w:caps w:val="0"/>
          <w:color w:val="000000"/>
          <w:spacing w:val="0"/>
          <w:sz w:val="32"/>
          <w:szCs w:val="32"/>
          <w:lang w:eastAsia="zh-CN"/>
        </w:rPr>
        <w:t>办法</w:t>
      </w:r>
      <w:r>
        <w:rPr>
          <w:rFonts w:hint="eastAsia" w:ascii="仿宋_GB2312" w:hAnsi="仿宋_GB2312" w:eastAsia="仿宋_GB2312" w:cs="仿宋_GB2312"/>
          <w:i w:val="0"/>
          <w:caps w:val="0"/>
          <w:color w:val="000000"/>
          <w:spacing w:val="0"/>
          <w:sz w:val="32"/>
          <w:szCs w:val="32"/>
        </w:rPr>
        <w:t>自发布之日起</w:t>
      </w:r>
      <w:r>
        <w:rPr>
          <w:rFonts w:hint="eastAsia" w:ascii="仿宋" w:hAnsi="仿宋" w:eastAsia="仿宋"/>
          <w:sz w:val="32"/>
          <w:szCs w:val="32"/>
        </w:rPr>
        <w:t>实</w:t>
      </w:r>
      <w:r>
        <w:rPr>
          <w:rFonts w:hint="eastAsia" w:ascii="仿宋" w:hAnsi="仿宋" w:eastAsia="仿宋"/>
          <w:sz w:val="32"/>
          <w:szCs w:val="32"/>
          <w:lang w:val="en-US" w:eastAsia="zh-CN"/>
        </w:rPr>
        <w:t>行</w:t>
      </w:r>
      <w:r>
        <w:rPr>
          <w:rFonts w:hint="eastAsia" w:ascii="仿宋" w:hAnsi="仿宋" w:eastAsia="仿宋"/>
          <w:sz w:val="32"/>
          <w:szCs w:val="32"/>
        </w:rPr>
        <w:t>。</w:t>
      </w:r>
    </w:p>
    <w:p>
      <w:pPr>
        <w:rPr>
          <w:rFonts w:ascii="仿宋" w:hAnsi="仿宋" w:eastAsia="仿宋" w:cs="仿宋"/>
          <w:sz w:val="32"/>
          <w:szCs w:val="32"/>
        </w:rPr>
      </w:pPr>
    </w:p>
    <w:p>
      <w:pPr>
        <w:ind w:firstLine="646" w:firstLineChars="200"/>
        <w:rPr>
          <w:rFonts w:ascii="仿宋" w:hAnsi="仿宋" w:eastAsia="仿宋" w:cs="仿宋"/>
          <w:sz w:val="32"/>
          <w:szCs w:val="32"/>
        </w:rPr>
      </w:pPr>
      <w:r>
        <w:rPr>
          <w:rFonts w:hint="eastAsia" w:ascii="仿宋" w:hAnsi="仿宋" w:eastAsia="仿宋" w:cs="仿宋"/>
          <w:sz w:val="32"/>
          <w:szCs w:val="32"/>
        </w:rPr>
        <w:t>附件：大连市工业和信息化行政处罚裁量基准</w:t>
      </w:r>
    </w:p>
    <w:p>
      <w:pPr>
        <w:rPr>
          <w:rFonts w:ascii="仿宋" w:hAnsi="仿宋" w:eastAsia="仿宋" w:cs="仿宋"/>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ind w:firstLine="646" w:firstLineChars="200"/>
        <w:rPr>
          <w:rFonts w:ascii="仿宋" w:hAnsi="仿宋" w:eastAsia="仿宋" w:cs="仿宋"/>
          <w:bCs/>
          <w:sz w:val="32"/>
          <w:szCs w:val="32"/>
        </w:rPr>
      </w:pPr>
    </w:p>
    <w:p>
      <w:pPr>
        <w:pStyle w:val="7"/>
        <w:spacing w:beforeAutospacing="0" w:afterAutospacing="0"/>
        <w:rPr>
          <w:rFonts w:ascii="黑体" w:hAnsi="黑体" w:eastAsia="黑体" w:cs="黑体"/>
          <w:bCs/>
          <w:sz w:val="32"/>
          <w:szCs w:val="32"/>
        </w:rPr>
      </w:pPr>
      <w:r>
        <w:rPr>
          <w:rFonts w:hint="eastAsia" w:ascii="黑体" w:hAnsi="黑体" w:eastAsia="黑体" w:cs="黑体"/>
          <w:bCs/>
          <w:sz w:val="32"/>
          <w:szCs w:val="32"/>
        </w:rPr>
        <w:t>附件：</w:t>
      </w:r>
    </w:p>
    <w:p>
      <w:pPr>
        <w:pStyle w:val="7"/>
        <w:spacing w:beforeAutospacing="0" w:afterAutospacing="0"/>
        <w:rPr>
          <w:rFonts w:ascii="黑体" w:hAnsi="黑体" w:eastAsia="黑体" w:cs="黑体"/>
          <w:bCs/>
          <w:sz w:val="32"/>
          <w:szCs w:val="32"/>
        </w:rPr>
      </w:pPr>
    </w:p>
    <w:p>
      <w:pPr>
        <w:jc w:val="center"/>
        <w:rPr>
          <w:rFonts w:ascii="宋体" w:hAnsi="宋体" w:eastAsia="宋体" w:cs="宋体"/>
          <w:sz w:val="44"/>
          <w:szCs w:val="44"/>
        </w:rPr>
      </w:pPr>
      <w:r>
        <w:rPr>
          <w:rFonts w:hint="eastAsia" w:ascii="宋体" w:hAnsi="宋体" w:eastAsia="宋体" w:cs="宋体"/>
          <w:sz w:val="44"/>
          <w:szCs w:val="44"/>
        </w:rPr>
        <w:t>大连市工业和信息化行政处罚裁量基准</w:t>
      </w:r>
    </w:p>
    <w:p>
      <w:pPr>
        <w:rPr>
          <w:rFonts w:ascii="仿宋" w:hAnsi="仿宋" w:eastAsia="仿宋" w:cs="仿宋"/>
          <w:sz w:val="32"/>
          <w:szCs w:val="32"/>
          <w:shd w:val="clear" w:color="auto" w:fill="FFFFFF"/>
        </w:rPr>
      </w:pPr>
    </w:p>
    <w:p>
      <w:pPr>
        <w:ind w:firstLine="646" w:firstLineChars="200"/>
        <w:rPr>
          <w:rFonts w:ascii="仿宋" w:hAnsi="仿宋" w:eastAsia="仿宋" w:cs="仿宋"/>
          <w:sz w:val="32"/>
          <w:szCs w:val="32"/>
        </w:rPr>
      </w:pPr>
    </w:p>
    <w:p>
      <w:pPr>
        <w:ind w:firstLine="646" w:firstLineChars="200"/>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一</w:t>
      </w:r>
      <w:r>
        <w:rPr>
          <w:rFonts w:hint="eastAsia" w:ascii="黑体" w:hAnsi="黑体" w:eastAsia="黑体" w:cs="黑体"/>
          <w:sz w:val="32"/>
          <w:szCs w:val="32"/>
        </w:rPr>
        <w:t>章 民用爆炸物品行政处罚裁量基准</w:t>
      </w:r>
    </w:p>
    <w:p>
      <w:pPr>
        <w:ind w:firstLine="646" w:firstLineChars="200"/>
        <w:jc w:val="left"/>
        <w:rPr>
          <w:rFonts w:ascii="仿宋" w:hAnsi="仿宋" w:eastAsia="仿宋" w:cs="仿宋"/>
          <w:sz w:val="32"/>
          <w:szCs w:val="32"/>
        </w:rPr>
      </w:pPr>
      <w:r>
        <w:rPr>
          <w:rFonts w:hint="eastAsia" w:ascii="仿宋" w:hAnsi="仿宋" w:eastAsia="仿宋" w:cs="仿宋"/>
          <w:b/>
          <w:bCs/>
          <w:sz w:val="32"/>
          <w:szCs w:val="32"/>
          <w:shd w:val="clear" w:color="auto" w:fill="FFFFFF"/>
        </w:rPr>
        <w:t>第</w:t>
      </w:r>
      <w:r>
        <w:rPr>
          <w:rFonts w:hint="eastAsia" w:ascii="仿宋" w:hAnsi="仿宋" w:eastAsia="仿宋" w:cs="仿宋"/>
          <w:b/>
          <w:bCs/>
          <w:sz w:val="32"/>
          <w:szCs w:val="32"/>
          <w:shd w:val="clear" w:color="auto" w:fill="FFFFFF"/>
          <w:lang w:val="en-US" w:eastAsia="zh-CN"/>
        </w:rPr>
        <w:t>一</w:t>
      </w:r>
      <w:r>
        <w:rPr>
          <w:rFonts w:hint="eastAsia" w:ascii="仿宋" w:hAnsi="仿宋" w:eastAsia="仿宋" w:cs="仿宋"/>
          <w:b/>
          <w:bCs/>
          <w:sz w:val="32"/>
          <w:szCs w:val="32"/>
          <w:shd w:val="clear" w:color="auto" w:fill="FFFFFF"/>
        </w:rPr>
        <w:t>条</w:t>
      </w:r>
      <w:r>
        <w:rPr>
          <w:rFonts w:hint="eastAsia" w:ascii="仿宋" w:hAnsi="仿宋" w:eastAsia="仿宋" w:cs="仿宋"/>
          <w:sz w:val="32"/>
          <w:szCs w:val="32"/>
        </w:rPr>
        <w:t xml:space="preserve">  违反民用爆炸物品生产许可处罚自由裁量权适用</w:t>
      </w:r>
    </w:p>
    <w:p>
      <w:pPr>
        <w:ind w:firstLine="646" w:firstLineChars="200"/>
        <w:rPr>
          <w:rFonts w:ascii="仿宋" w:hAnsi="仿宋" w:eastAsia="仿宋" w:cs="仿宋"/>
          <w:sz w:val="32"/>
          <w:szCs w:val="32"/>
        </w:rPr>
      </w:pPr>
      <w:r>
        <w:rPr>
          <w:rFonts w:hint="eastAsia" w:ascii="楷体" w:hAnsi="楷体" w:eastAsia="楷体" w:cs="楷体"/>
          <w:sz w:val="32"/>
          <w:szCs w:val="32"/>
        </w:rPr>
        <w:t>一、法律依据、处罚种类和幅度</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民用爆炸物品生产许可实施办法》第二十五条企业未经许可从事民用爆炸物品生产的，由省级民爆行业主管部门责令停止非法生产活动，处10万元以上50万元以下的罚款，没收非法生产的民用爆炸物品及其违法所得。</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第二十六条民用爆炸物品生产企业有下列行为之一的，由省级国防科技工业主管部门责令限期改正，处10万元以上50万元以下的罚款；逾期不改正的，责令停产整顿；情节严重的，由省级民爆行业主管部门建议工业和信息化部吊销《民用爆炸物品生产许可证》：</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1.超出许可核定的生产品种、能力进行生产的；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2.违反安全技术规程生产作业的；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3.民用爆炸物品的质量不符合相关标准的；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4.因存在严重安全问题被吊销民用爆炸物品安全生产许可的；</w:t>
      </w:r>
    </w:p>
    <w:p>
      <w:pPr>
        <w:ind w:firstLine="646" w:firstLineChars="200"/>
        <w:rPr>
          <w:rFonts w:ascii="仿宋" w:hAnsi="仿宋" w:eastAsia="仿宋" w:cs="仿宋"/>
          <w:sz w:val="32"/>
          <w:szCs w:val="32"/>
        </w:rPr>
      </w:pPr>
      <w:r>
        <w:rPr>
          <w:rFonts w:hint="eastAsia" w:ascii="仿宋" w:hAnsi="仿宋" w:eastAsia="仿宋" w:cs="仿宋"/>
          <w:sz w:val="32"/>
          <w:szCs w:val="32"/>
        </w:rPr>
        <w:t>5.违反法律、行政法规应予以吊销民用爆炸物品生产许可的其他情形。</w:t>
      </w:r>
    </w:p>
    <w:p>
      <w:pPr>
        <w:ind w:firstLine="646" w:firstLineChars="200"/>
        <w:rPr>
          <w:rFonts w:ascii="仿宋" w:hAnsi="仿宋" w:eastAsia="仿宋" w:cs="仿宋"/>
          <w:sz w:val="32"/>
          <w:szCs w:val="32"/>
        </w:rPr>
      </w:pPr>
      <w:r>
        <w:rPr>
          <w:rFonts w:hint="eastAsia" w:ascii="仿宋" w:hAnsi="仿宋" w:eastAsia="仿宋" w:cs="仿宋"/>
          <w:sz w:val="32"/>
          <w:szCs w:val="32"/>
        </w:rPr>
        <w:t>第二十七条民用爆炸物品生产企业有下列行为之一的，由省级民爆行业主管部门责令限期改正；逾期不改正的，处3万元以下的罚款：</w:t>
      </w:r>
    </w:p>
    <w:p>
      <w:pPr>
        <w:ind w:firstLine="646" w:firstLineChars="200"/>
        <w:rPr>
          <w:rFonts w:ascii="仿宋" w:hAnsi="仿宋" w:eastAsia="仿宋" w:cs="仿宋"/>
          <w:sz w:val="32"/>
          <w:szCs w:val="32"/>
        </w:rPr>
      </w:pPr>
      <w:r>
        <w:rPr>
          <w:rFonts w:hint="eastAsia" w:ascii="仿宋" w:hAnsi="仿宋" w:eastAsia="仿宋" w:cs="仿宋"/>
          <w:sz w:val="32"/>
          <w:szCs w:val="32"/>
        </w:rPr>
        <w:t>1.未按规定提交年度报告的；</w:t>
      </w:r>
    </w:p>
    <w:p>
      <w:pPr>
        <w:ind w:firstLine="646" w:firstLineChars="200"/>
        <w:rPr>
          <w:rFonts w:ascii="仿宋" w:hAnsi="仿宋" w:eastAsia="仿宋" w:cs="仿宋"/>
          <w:sz w:val="32"/>
          <w:szCs w:val="32"/>
        </w:rPr>
      </w:pPr>
      <w:r>
        <w:rPr>
          <w:rFonts w:hint="eastAsia" w:ascii="仿宋" w:hAnsi="仿宋" w:eastAsia="仿宋" w:cs="仿宋"/>
          <w:sz w:val="32"/>
          <w:szCs w:val="32"/>
        </w:rPr>
        <w:t>2.年度报告提供虚假材料或者拒绝提供反映其生产经营活动情况真实材料的。</w:t>
      </w:r>
    </w:p>
    <w:p>
      <w:pPr>
        <w:ind w:firstLine="646" w:firstLineChars="200"/>
        <w:rPr>
          <w:rFonts w:ascii="楷体" w:hAnsi="楷体" w:eastAsia="楷体" w:cs="楷体"/>
          <w:sz w:val="32"/>
          <w:szCs w:val="32"/>
        </w:rPr>
      </w:pPr>
      <w:r>
        <w:rPr>
          <w:rFonts w:hint="eastAsia" w:ascii="楷体" w:hAnsi="楷体" w:eastAsia="楷体" w:cs="楷体"/>
          <w:sz w:val="32"/>
          <w:szCs w:val="32"/>
        </w:rPr>
        <w:t>二、裁量适用情形</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1.企业未经许可从事民用爆炸物品生产的，责令停止非法生产活动，处50万元罚款，没收非法生产的民用爆炸物品及其违法所得。</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2.企业超出许可核定的品种、产量进行生产的，违反安全技术规程生产作业的，民用爆炸物品的质量不符合相关标准的，因存在严重安全问题被吊销民用爆炸物品安全生产许可的，违反法律、行政法规应予以吊销民用爆炸物品生产许可的其他情形，责令停止非法生产活动，按照工信部安全生产司的通知要求予以处罚。</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3.企业未按规定提交年度报告的，年度报告提供虚假材料或者拒绝提供反映其生产经营活动情况真实材料的，责令限期改正；逾期不改正的，处3万元罚款。</w:t>
      </w:r>
    </w:p>
    <w:p>
      <w:pPr>
        <w:ind w:firstLine="646" w:firstLineChars="200"/>
        <w:jc w:val="left"/>
        <w:rPr>
          <w:rFonts w:ascii="仿宋" w:hAnsi="仿宋" w:eastAsia="仿宋" w:cs="仿宋"/>
          <w:sz w:val="32"/>
          <w:szCs w:val="32"/>
        </w:rPr>
      </w:pPr>
      <w:r>
        <w:rPr>
          <w:rFonts w:hint="eastAsia" w:ascii="仿宋" w:hAnsi="仿宋" w:eastAsia="仿宋" w:cs="仿宋"/>
          <w:b/>
          <w:bCs/>
          <w:sz w:val="32"/>
          <w:szCs w:val="32"/>
          <w:shd w:val="clear" w:color="auto" w:fill="FFFFFF"/>
        </w:rPr>
        <w:t>第</w:t>
      </w:r>
      <w:r>
        <w:rPr>
          <w:rFonts w:hint="eastAsia" w:ascii="仿宋" w:hAnsi="仿宋" w:eastAsia="仿宋" w:cs="仿宋"/>
          <w:b/>
          <w:bCs/>
          <w:sz w:val="32"/>
          <w:szCs w:val="32"/>
          <w:shd w:val="clear" w:color="auto" w:fill="FFFFFF"/>
          <w:lang w:val="en-US" w:eastAsia="zh-CN"/>
        </w:rPr>
        <w:t>二</w:t>
      </w:r>
      <w:r>
        <w:rPr>
          <w:rFonts w:hint="eastAsia" w:ascii="仿宋" w:hAnsi="仿宋" w:eastAsia="仿宋" w:cs="仿宋"/>
          <w:b/>
          <w:bCs/>
          <w:sz w:val="32"/>
          <w:szCs w:val="32"/>
          <w:shd w:val="clear" w:color="auto" w:fill="FFFFFF"/>
        </w:rPr>
        <w:t>条</w:t>
      </w:r>
      <w:r>
        <w:rPr>
          <w:rFonts w:hint="eastAsia" w:ascii="仿宋" w:hAnsi="仿宋" w:eastAsia="仿宋" w:cs="仿宋"/>
          <w:sz w:val="32"/>
          <w:szCs w:val="32"/>
        </w:rPr>
        <w:t xml:space="preserve">  违反民用爆炸物品安全生产许可处罚自由裁量权适用</w:t>
      </w:r>
    </w:p>
    <w:p>
      <w:pPr>
        <w:ind w:firstLine="646" w:firstLineChars="200"/>
        <w:rPr>
          <w:rFonts w:ascii="楷体" w:hAnsi="楷体" w:eastAsia="楷体" w:cs="楷体"/>
          <w:sz w:val="32"/>
          <w:szCs w:val="32"/>
        </w:rPr>
      </w:pPr>
      <w:r>
        <w:rPr>
          <w:rFonts w:hint="eastAsia" w:ascii="楷体" w:hAnsi="楷体" w:eastAsia="楷体" w:cs="楷体"/>
          <w:sz w:val="32"/>
          <w:szCs w:val="32"/>
        </w:rPr>
        <w:t>一、法律依据、处罚种类和幅度</w:t>
      </w:r>
    </w:p>
    <w:p>
      <w:pPr>
        <w:ind w:firstLine="646" w:firstLineChars="200"/>
        <w:rPr>
          <w:rFonts w:ascii="仿宋" w:hAnsi="仿宋" w:eastAsia="仿宋" w:cs="仿宋"/>
          <w:sz w:val="32"/>
          <w:szCs w:val="32"/>
        </w:rPr>
      </w:pPr>
      <w:r>
        <w:rPr>
          <w:rFonts w:hint="eastAsia" w:ascii="仿宋" w:hAnsi="仿宋" w:eastAsia="仿宋" w:cs="仿宋"/>
          <w:sz w:val="32"/>
          <w:szCs w:val="32"/>
        </w:rPr>
        <w:t>《民用爆炸物品安全生产许可实施办法》第二十条　企业未获得《民用爆炸物品安全生产许可证》擅自组织民用爆炸物品生产的，由省级民爆行业主管部门责令停止生产，处10万元以上50万元以下的罚款，没收非法生产的民用爆炸物品及其违法所得；构成犯罪的，依法追究刑事责任。</w:t>
      </w:r>
    </w:p>
    <w:p>
      <w:pPr>
        <w:tabs>
          <w:tab w:val="left" w:pos="5213"/>
        </w:tabs>
        <w:ind w:firstLine="646" w:firstLineChars="200"/>
        <w:rPr>
          <w:rFonts w:ascii="楷体" w:hAnsi="楷体" w:eastAsia="楷体" w:cs="楷体"/>
          <w:sz w:val="32"/>
          <w:szCs w:val="32"/>
        </w:rPr>
      </w:pPr>
      <w:r>
        <w:rPr>
          <w:rFonts w:hint="eastAsia" w:ascii="楷体" w:hAnsi="楷体" w:eastAsia="楷体" w:cs="楷体"/>
          <w:sz w:val="32"/>
          <w:szCs w:val="32"/>
        </w:rPr>
        <w:t>二、裁量适用情形</w:t>
      </w:r>
      <w:r>
        <w:rPr>
          <w:rFonts w:hint="eastAsia" w:ascii="楷体" w:hAnsi="楷体" w:eastAsia="楷体" w:cs="楷体"/>
          <w:sz w:val="32"/>
          <w:szCs w:val="32"/>
        </w:rPr>
        <w:tab/>
      </w:r>
    </w:p>
    <w:p>
      <w:pPr>
        <w:ind w:firstLine="646" w:firstLineChars="200"/>
        <w:rPr>
          <w:rFonts w:ascii="仿宋" w:hAnsi="仿宋" w:eastAsia="仿宋" w:cs="仿宋"/>
          <w:sz w:val="32"/>
          <w:szCs w:val="32"/>
        </w:rPr>
      </w:pPr>
      <w:r>
        <w:rPr>
          <w:rFonts w:hint="eastAsia" w:ascii="仿宋" w:hAnsi="仿宋" w:eastAsia="仿宋" w:cs="仿宋"/>
          <w:sz w:val="32"/>
          <w:szCs w:val="32"/>
        </w:rPr>
        <w:t>企业未获得《民用爆炸物品安全生产许可证》擅自组织民用爆炸物品生产的，处50万元罚款，没收非法生产的民用爆炸物品及其违法所得；构成犯罪的，移交司法机关依法追究刑事责任。</w:t>
      </w:r>
    </w:p>
    <w:p>
      <w:pPr>
        <w:ind w:firstLine="646" w:firstLineChars="200"/>
        <w:jc w:val="left"/>
        <w:rPr>
          <w:rFonts w:ascii="仿宋" w:hAnsi="仿宋" w:eastAsia="仿宋" w:cs="仿宋"/>
          <w:sz w:val="32"/>
          <w:szCs w:val="32"/>
        </w:rPr>
      </w:pPr>
      <w:r>
        <w:rPr>
          <w:rFonts w:hint="eastAsia" w:ascii="仿宋" w:hAnsi="仿宋" w:eastAsia="仿宋" w:cs="仿宋"/>
          <w:b/>
          <w:bCs/>
          <w:sz w:val="32"/>
          <w:szCs w:val="32"/>
          <w:shd w:val="clear" w:color="auto" w:fill="FFFFFF"/>
        </w:rPr>
        <w:t>第</w:t>
      </w:r>
      <w:r>
        <w:rPr>
          <w:rFonts w:hint="eastAsia" w:ascii="仿宋" w:hAnsi="仿宋" w:eastAsia="仿宋" w:cs="仿宋"/>
          <w:b/>
          <w:bCs/>
          <w:sz w:val="32"/>
          <w:szCs w:val="32"/>
          <w:shd w:val="clear" w:color="auto" w:fill="FFFFFF"/>
          <w:lang w:val="en-US" w:eastAsia="zh-CN"/>
        </w:rPr>
        <w:t>三</w:t>
      </w:r>
      <w:r>
        <w:rPr>
          <w:rFonts w:hint="eastAsia" w:ascii="仿宋" w:hAnsi="仿宋" w:eastAsia="仿宋" w:cs="仿宋"/>
          <w:b/>
          <w:bCs/>
          <w:sz w:val="32"/>
          <w:szCs w:val="32"/>
          <w:shd w:val="clear" w:color="auto" w:fill="FFFFFF"/>
        </w:rPr>
        <w:t>条</w:t>
      </w:r>
      <w:r>
        <w:rPr>
          <w:rFonts w:hint="eastAsia" w:ascii="仿宋" w:hAnsi="仿宋" w:eastAsia="仿宋" w:cs="仿宋"/>
          <w:sz w:val="32"/>
          <w:szCs w:val="32"/>
        </w:rPr>
        <w:t xml:space="preserve">  违反民用爆炸物品销售许可处罚自由裁量权适用</w:t>
      </w:r>
    </w:p>
    <w:p>
      <w:pPr>
        <w:ind w:firstLine="646" w:firstLineChars="200"/>
        <w:rPr>
          <w:rFonts w:ascii="仿宋" w:hAnsi="仿宋" w:eastAsia="仿宋" w:cs="仿宋"/>
          <w:sz w:val="32"/>
          <w:szCs w:val="32"/>
        </w:rPr>
      </w:pPr>
      <w:r>
        <w:rPr>
          <w:rFonts w:hint="eastAsia" w:ascii="楷体" w:hAnsi="楷体" w:eastAsia="楷体" w:cs="楷体"/>
          <w:sz w:val="32"/>
          <w:szCs w:val="32"/>
        </w:rPr>
        <w:t>一、法律依据、处罚种类和幅度</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民用爆炸物品销售许可实施办法》第三十二条企业未经许可从事民用爆炸物品销售活动的，由省级国防科技工业主管部门责令停止非法销售活动，处10万元以上50万元以下的罚款，没收非法销售的民用爆炸物品及其违法所得。</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第三十三条民用爆炸物品销售企业有下列行为之一的，由省级国防科技工业主管部门责令限期改正，处10万元以上50万元以下的罚款；逾期不改正的，责令停业整顿；情节严重的，吊销《民用爆炸物品销售许可证》：</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1.超出销售许可的品种进行销售的；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2.向没有《民用爆炸物品生产许可证》、《民用爆炸物品销售许可证》、《民用爆炸物品购买许可证》的单位销售民用爆炸物品的；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3.因管理不善致使民用爆炸物品丢失或被盗的；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4.未按规定程序和手续销售民用爆炸物品的；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5.超量储存民用爆炸物品或者将性质相抵触的爆炸物品同处储存的；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6.销售民用爆炸物品未按规定向省级国防科技工业主管部门备案的；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7.因存在严重安全隐患，整改期限内，仍不能达到要求的；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8.发生重特大事故不宜恢复销售活动的；</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9.销售企业转让、买卖、出租、出借销售许可证的。</w:t>
      </w:r>
    </w:p>
    <w:p>
      <w:pPr>
        <w:ind w:firstLine="646" w:firstLineChars="200"/>
        <w:rPr>
          <w:rFonts w:ascii="楷体" w:hAnsi="楷体" w:eastAsia="楷体" w:cs="楷体"/>
          <w:sz w:val="32"/>
          <w:szCs w:val="32"/>
        </w:rPr>
      </w:pPr>
      <w:r>
        <w:rPr>
          <w:rFonts w:hint="eastAsia" w:ascii="楷体" w:hAnsi="楷体" w:eastAsia="楷体" w:cs="楷体"/>
          <w:sz w:val="32"/>
          <w:szCs w:val="32"/>
        </w:rPr>
        <w:t>二、裁量适用情形</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1.企业未经许可从事民用爆炸物品销售活动的，责令停止非法销售活动，处50万元罚款，没收非法销售的民用爆炸物品及其违法所得。</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2.企业超量储存民用爆炸物品或者将性质相抵触的爆炸物品同处储存的；销售民用爆炸物品未按规定向省级国防科技工业主管部门备案的；销售企业转让、买卖、出租、出借销售许可证的，限期改正，逾期不改的，处10万元罚款，责令停业整顿。</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3.向没有《民用爆炸物品生产许可证》、《民用爆炸物品销售许可证》、《民用爆炸物品购买许可证》的单位销售民用爆炸物品的；限期改正，逾期不改的，处以20万元罚，责令停业整顿，情节严重的，吊销《民用爆炸物品销售许可证》。</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4.因管理不善致使民用爆炸物品丢失或被盗的；未按规定程序和手续销售民用爆炸物品的；处以20万元罚，责令停业整顿，情节严重的，吊销《民用爆炸物品销售许可证》。</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5.超出销售许可的品种进行销售的，处以50万元罚款，责令停业整顿，情节严重的，吊销《民用爆炸物品销售许可证》。</w:t>
      </w:r>
    </w:p>
    <w:p>
      <w:pPr>
        <w:shd w:val="clear" w:color="auto" w:fill="FFFFFF"/>
        <w:ind w:firstLine="646" w:firstLineChars="200"/>
        <w:rPr>
          <w:rFonts w:ascii="仿宋" w:hAnsi="仿宋" w:eastAsia="仿宋" w:cs="仿宋"/>
          <w:sz w:val="32"/>
          <w:szCs w:val="32"/>
        </w:rPr>
      </w:pPr>
      <w:r>
        <w:rPr>
          <w:rFonts w:hint="eastAsia" w:ascii="仿宋" w:hAnsi="仿宋" w:eastAsia="仿宋" w:cs="仿宋"/>
          <w:sz w:val="32"/>
          <w:szCs w:val="32"/>
        </w:rPr>
        <w:t>6.因存在严重安全隐患，整改期限内，仍不能达到要求的，发生重特大事故不宜恢复销售活动的，责令停业整顿，情节严重的，吊销《民用爆炸物品销售许可证》。</w:t>
      </w:r>
    </w:p>
    <w:p>
      <w:pPr>
        <w:shd w:val="clear" w:color="auto" w:fill="FFFFFF"/>
        <w:ind w:firstLine="646" w:firstLineChars="200"/>
        <w:jc w:val="center"/>
        <w:rPr>
          <w:rFonts w:ascii="仿宋" w:hAnsi="仿宋" w:eastAsia="仿宋" w:cs="仿宋"/>
          <w:sz w:val="32"/>
          <w:szCs w:val="32"/>
        </w:rPr>
      </w:pPr>
    </w:p>
    <w:p>
      <w:pPr>
        <w:shd w:val="clear" w:color="auto" w:fill="FFFFFF"/>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章 附则</w:t>
      </w:r>
    </w:p>
    <w:p>
      <w:pPr>
        <w:ind w:firstLine="646" w:firstLineChars="200"/>
        <w:rPr>
          <w:rFonts w:ascii="仿宋" w:hAnsi="仿宋" w:eastAsia="仿宋"/>
          <w:sz w:val="28"/>
          <w:szCs w:val="28"/>
        </w:rPr>
      </w:pPr>
      <w:r>
        <w:rPr>
          <w:rFonts w:hint="eastAsia" w:ascii="仿宋" w:hAnsi="仿宋" w:eastAsia="仿宋" w:cs="仿宋"/>
          <w:b/>
          <w:bCs/>
          <w:sz w:val="32"/>
          <w:szCs w:val="32"/>
          <w:shd w:val="clear" w:color="auto" w:fill="FFFFFF"/>
        </w:rPr>
        <w:t>第</w:t>
      </w:r>
      <w:r>
        <w:rPr>
          <w:rFonts w:hint="eastAsia" w:ascii="仿宋" w:hAnsi="仿宋" w:eastAsia="仿宋" w:cs="仿宋"/>
          <w:b/>
          <w:bCs/>
          <w:sz w:val="32"/>
          <w:szCs w:val="32"/>
          <w:shd w:val="clear" w:color="auto" w:fill="FFFFFF"/>
          <w:lang w:val="en-US" w:eastAsia="zh-CN"/>
        </w:rPr>
        <w:t>四</w:t>
      </w:r>
      <w:r>
        <w:rPr>
          <w:rFonts w:hint="eastAsia" w:ascii="仿宋" w:hAnsi="仿宋" w:eastAsia="仿宋" w:cs="仿宋"/>
          <w:b/>
          <w:bCs/>
          <w:sz w:val="32"/>
          <w:szCs w:val="32"/>
          <w:shd w:val="clear" w:color="auto" w:fill="FFFFFF"/>
        </w:rPr>
        <w:t>条</w:t>
      </w:r>
      <w:r>
        <w:rPr>
          <w:rFonts w:hint="eastAsia" w:ascii="仿宋" w:hAnsi="仿宋" w:eastAsia="仿宋" w:cs="仿宋"/>
          <w:sz w:val="32"/>
          <w:szCs w:val="32"/>
          <w:shd w:val="clear" w:color="auto" w:fill="FFFFFF"/>
        </w:rPr>
        <w:t>  本制度中的“以上”、“以下”均包含本数；“多次”系指三次以上；“较大社会影响”系指影响面在本省范围内； “重大财产损失”指财产损失额在5万元以上。</w:t>
      </w:r>
      <w:bookmarkStart w:id="0" w:name="_GoBack"/>
      <w:bookmarkEnd w:id="0"/>
    </w:p>
    <w:sectPr>
      <w:footerReference r:id="rId3" w:type="default"/>
      <w:pgSz w:w="11906" w:h="16838"/>
      <w:pgMar w:top="1440" w:right="1689" w:bottom="1440" w:left="1689" w:header="851" w:footer="992" w:gutter="0"/>
      <w:pgNumType w:fmt="numberInDash"/>
      <w:cols w:space="0" w:num="1"/>
      <w:docGrid w:type="linesAndChars" w:linePitch="315" w:charSpace="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auto"/>
    <w:pitch w:val="default"/>
    <w:sig w:usb0="00000000" w:usb1="00000000" w:usb2="0000001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瀹嬩綋">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_x0000_s2049"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pPr>
                <w:r>
                  <w:fldChar w:fldCharType="begin"/>
                </w:r>
                <w:r>
                  <w:instrText xml:space="preserve"> PAGE  \* MERGEFORMAT </w:instrText>
                </w:r>
                <w:r>
                  <w:fldChar w:fldCharType="separate"/>
                </w:r>
                <w:r>
                  <w:t>95</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07"/>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JmMmFhNjc0NTJiN2JlNmJjNzQxOTdiOWIyNDU1M2QifQ=="/>
  </w:docVars>
  <w:rsids>
    <w:rsidRoot w:val="0F216278"/>
    <w:rsid w:val="00037B9E"/>
    <w:rsid w:val="000E0A0D"/>
    <w:rsid w:val="000E6711"/>
    <w:rsid w:val="0010482E"/>
    <w:rsid w:val="00167156"/>
    <w:rsid w:val="00170F65"/>
    <w:rsid w:val="00185C8C"/>
    <w:rsid w:val="001861AC"/>
    <w:rsid w:val="00190761"/>
    <w:rsid w:val="001A3D6A"/>
    <w:rsid w:val="001E5DAD"/>
    <w:rsid w:val="001F3723"/>
    <w:rsid w:val="00220FF7"/>
    <w:rsid w:val="00221E66"/>
    <w:rsid w:val="00235A49"/>
    <w:rsid w:val="00246C37"/>
    <w:rsid w:val="002525EA"/>
    <w:rsid w:val="00255760"/>
    <w:rsid w:val="002C79F4"/>
    <w:rsid w:val="002F6F18"/>
    <w:rsid w:val="00333AD6"/>
    <w:rsid w:val="00341499"/>
    <w:rsid w:val="003467D6"/>
    <w:rsid w:val="003627D1"/>
    <w:rsid w:val="00390951"/>
    <w:rsid w:val="003B3122"/>
    <w:rsid w:val="003C0DB9"/>
    <w:rsid w:val="00472F1B"/>
    <w:rsid w:val="00481412"/>
    <w:rsid w:val="00487DD1"/>
    <w:rsid w:val="0049602A"/>
    <w:rsid w:val="004D3191"/>
    <w:rsid w:val="004F52E6"/>
    <w:rsid w:val="005319EA"/>
    <w:rsid w:val="0053579C"/>
    <w:rsid w:val="005724A6"/>
    <w:rsid w:val="00573920"/>
    <w:rsid w:val="005C5D5E"/>
    <w:rsid w:val="005E5C45"/>
    <w:rsid w:val="005F3A56"/>
    <w:rsid w:val="006200FA"/>
    <w:rsid w:val="006244D9"/>
    <w:rsid w:val="006452B7"/>
    <w:rsid w:val="006C26F9"/>
    <w:rsid w:val="006C36A4"/>
    <w:rsid w:val="006F7C5B"/>
    <w:rsid w:val="0070680C"/>
    <w:rsid w:val="00792792"/>
    <w:rsid w:val="007940A5"/>
    <w:rsid w:val="007C231A"/>
    <w:rsid w:val="007C70E7"/>
    <w:rsid w:val="007F4B34"/>
    <w:rsid w:val="00834C4A"/>
    <w:rsid w:val="00854809"/>
    <w:rsid w:val="00887E5D"/>
    <w:rsid w:val="008C69A1"/>
    <w:rsid w:val="008E4FAA"/>
    <w:rsid w:val="008E53CE"/>
    <w:rsid w:val="008F6C48"/>
    <w:rsid w:val="009348E3"/>
    <w:rsid w:val="00956227"/>
    <w:rsid w:val="0096481C"/>
    <w:rsid w:val="00990485"/>
    <w:rsid w:val="009E1D27"/>
    <w:rsid w:val="00A00226"/>
    <w:rsid w:val="00A2019C"/>
    <w:rsid w:val="00A55633"/>
    <w:rsid w:val="00A5583C"/>
    <w:rsid w:val="00A609C9"/>
    <w:rsid w:val="00A70476"/>
    <w:rsid w:val="00A87AB0"/>
    <w:rsid w:val="00AA5578"/>
    <w:rsid w:val="00AA58F9"/>
    <w:rsid w:val="00AD3E2A"/>
    <w:rsid w:val="00AD52E8"/>
    <w:rsid w:val="00B00B85"/>
    <w:rsid w:val="00B5246E"/>
    <w:rsid w:val="00B5787F"/>
    <w:rsid w:val="00B61FE2"/>
    <w:rsid w:val="00B661F1"/>
    <w:rsid w:val="00B9395B"/>
    <w:rsid w:val="00BA06B7"/>
    <w:rsid w:val="00BA61CE"/>
    <w:rsid w:val="00C02CF6"/>
    <w:rsid w:val="00C04061"/>
    <w:rsid w:val="00C12014"/>
    <w:rsid w:val="00C3121D"/>
    <w:rsid w:val="00C44778"/>
    <w:rsid w:val="00C61999"/>
    <w:rsid w:val="00C90BAF"/>
    <w:rsid w:val="00CA6B44"/>
    <w:rsid w:val="00CE23D1"/>
    <w:rsid w:val="00CE502F"/>
    <w:rsid w:val="00CF7FC1"/>
    <w:rsid w:val="00D13916"/>
    <w:rsid w:val="00D14011"/>
    <w:rsid w:val="00D209F0"/>
    <w:rsid w:val="00D3642D"/>
    <w:rsid w:val="00D54F14"/>
    <w:rsid w:val="00D85D4F"/>
    <w:rsid w:val="00D90892"/>
    <w:rsid w:val="00DB49CA"/>
    <w:rsid w:val="00DE177D"/>
    <w:rsid w:val="00DE7847"/>
    <w:rsid w:val="00E10E57"/>
    <w:rsid w:val="00E11492"/>
    <w:rsid w:val="00E37C92"/>
    <w:rsid w:val="00E66A72"/>
    <w:rsid w:val="00EA5718"/>
    <w:rsid w:val="00EF767F"/>
    <w:rsid w:val="00EF7755"/>
    <w:rsid w:val="00FB1FDD"/>
    <w:rsid w:val="00FC4D3D"/>
    <w:rsid w:val="00FE17A8"/>
    <w:rsid w:val="00FE7393"/>
    <w:rsid w:val="00FE79C7"/>
    <w:rsid w:val="03795797"/>
    <w:rsid w:val="03903C16"/>
    <w:rsid w:val="04142E35"/>
    <w:rsid w:val="05FC6EE2"/>
    <w:rsid w:val="06854AA8"/>
    <w:rsid w:val="09937B0A"/>
    <w:rsid w:val="0A271DB8"/>
    <w:rsid w:val="0AC604CB"/>
    <w:rsid w:val="0B874681"/>
    <w:rsid w:val="0C2812AB"/>
    <w:rsid w:val="0C8F74DD"/>
    <w:rsid w:val="0F216278"/>
    <w:rsid w:val="13981CE0"/>
    <w:rsid w:val="15D25B2C"/>
    <w:rsid w:val="16A54618"/>
    <w:rsid w:val="19EB4DBC"/>
    <w:rsid w:val="1C492912"/>
    <w:rsid w:val="1D264623"/>
    <w:rsid w:val="1ED047B4"/>
    <w:rsid w:val="1FFF0E8C"/>
    <w:rsid w:val="21B840A1"/>
    <w:rsid w:val="22BF70F9"/>
    <w:rsid w:val="239F4B26"/>
    <w:rsid w:val="241A26A8"/>
    <w:rsid w:val="28BE14DC"/>
    <w:rsid w:val="29472EC8"/>
    <w:rsid w:val="29916CB8"/>
    <w:rsid w:val="29A40260"/>
    <w:rsid w:val="2A221D4C"/>
    <w:rsid w:val="2BF614AC"/>
    <w:rsid w:val="2D8B1770"/>
    <w:rsid w:val="2ED01071"/>
    <w:rsid w:val="2FFA0788"/>
    <w:rsid w:val="305B04C5"/>
    <w:rsid w:val="30C36A33"/>
    <w:rsid w:val="33060651"/>
    <w:rsid w:val="3C0A1271"/>
    <w:rsid w:val="45D24B48"/>
    <w:rsid w:val="462317B3"/>
    <w:rsid w:val="48CB1FA9"/>
    <w:rsid w:val="50F05237"/>
    <w:rsid w:val="517F3932"/>
    <w:rsid w:val="53A7276C"/>
    <w:rsid w:val="562D704F"/>
    <w:rsid w:val="59152401"/>
    <w:rsid w:val="59A11474"/>
    <w:rsid w:val="60802E5D"/>
    <w:rsid w:val="63952E72"/>
    <w:rsid w:val="66222665"/>
    <w:rsid w:val="664D1B89"/>
    <w:rsid w:val="6754044F"/>
    <w:rsid w:val="67FB2E80"/>
    <w:rsid w:val="68431C31"/>
    <w:rsid w:val="69A209F0"/>
    <w:rsid w:val="6A6D77FD"/>
    <w:rsid w:val="6B0770A1"/>
    <w:rsid w:val="6BE30A9C"/>
    <w:rsid w:val="6D2352FB"/>
    <w:rsid w:val="6D535020"/>
    <w:rsid w:val="6D5C3A9F"/>
    <w:rsid w:val="70213C47"/>
    <w:rsid w:val="70544140"/>
    <w:rsid w:val="72185907"/>
    <w:rsid w:val="797D4961"/>
    <w:rsid w:val="7DBE51C3"/>
    <w:rsid w:val="7E185201"/>
    <w:rsid w:val="7EA805F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6"/>
    </w:rPr>
  </w:style>
  <w:style w:type="paragraph" w:styleId="3">
    <w:name w:val="Date"/>
    <w:basedOn w:val="1"/>
    <w:next w:val="1"/>
    <w:link w:val="44"/>
    <w:qFormat/>
    <w:uiPriority w:val="0"/>
    <w:pPr>
      <w:ind w:left="100" w:leftChars="2500"/>
    </w:pPr>
  </w:style>
  <w:style w:type="paragraph" w:styleId="4">
    <w:name w:val="Balloon Text"/>
    <w:basedOn w:val="1"/>
    <w:link w:val="4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rPr>
      <w:rFonts w:ascii="Times New Roman" w:hAnsi="Times New Roman" w:eastAsia="宋体"/>
      <w:sz w:val="18"/>
    </w:rPr>
  </w:style>
  <w:style w:type="paragraph" w:customStyle="1" w:styleId="11">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12">
    <w:name w:val="章标题"/>
    <w:next w:val="13"/>
    <w:qFormat/>
    <w:uiPriority w:val="0"/>
    <w:pPr>
      <w:spacing w:beforeLines="100" w:afterLines="100"/>
      <w:jc w:val="both"/>
      <w:outlineLvl w:val="1"/>
    </w:pPr>
    <w:rPr>
      <w:rFonts w:ascii="黑体" w:hAnsi="Calibri"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3"/>
    <w:qFormat/>
    <w:uiPriority w:val="0"/>
    <w:pPr>
      <w:spacing w:beforeLines="50" w:afterLines="50"/>
      <w:outlineLvl w:val="2"/>
    </w:pPr>
    <w:rPr>
      <w:rFonts w:ascii="黑体" w:hAnsi="Calibri" w:eastAsia="黑体" w:cs="Times New Roman"/>
      <w:sz w:val="21"/>
      <w:szCs w:val="21"/>
      <w:lang w:val="en-US" w:eastAsia="zh-CN" w:bidi="ar-SA"/>
    </w:rPr>
  </w:style>
  <w:style w:type="paragraph" w:customStyle="1" w:styleId="16">
    <w:name w:val="普通(网站)1"/>
    <w:basedOn w:val="1"/>
    <w:qFormat/>
    <w:uiPriority w:val="0"/>
    <w:pPr>
      <w:widowControl/>
      <w:spacing w:beforeAutospacing="1" w:afterAutospacing="1"/>
      <w:jc w:val="left"/>
    </w:pPr>
    <w:rPr>
      <w:rFonts w:ascii="宋体" w:hAnsi="宋体" w:cs="宋体"/>
      <w:kern w:val="0"/>
      <w:sz w:val="24"/>
    </w:rPr>
  </w:style>
  <w:style w:type="paragraph" w:customStyle="1" w:styleId="17">
    <w:name w:val="p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p3"/>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p4"/>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p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p7"/>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p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p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p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p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p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附录标识"/>
    <w:basedOn w:val="1"/>
    <w:next w:val="13"/>
    <w:qFormat/>
    <w:uiPriority w:val="0"/>
    <w:pPr>
      <w:keepNext/>
      <w:widowControl/>
      <w:shd w:val="clear" w:color="FFFFFF" w:fill="FFFFFF"/>
      <w:tabs>
        <w:tab w:val="left" w:pos="360"/>
        <w:tab w:val="left" w:pos="6405"/>
      </w:tabs>
      <w:spacing w:before="640" w:after="280"/>
      <w:ind w:left="4962"/>
      <w:jc w:val="center"/>
      <w:outlineLvl w:val="0"/>
    </w:pPr>
    <w:rPr>
      <w:rFonts w:ascii="黑体" w:eastAsia="黑体"/>
      <w:kern w:val="0"/>
      <w:szCs w:val="20"/>
    </w:rPr>
  </w:style>
  <w:style w:type="paragraph" w:customStyle="1" w:styleId="36">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37">
    <w:name w:val="附录表标号"/>
    <w:basedOn w:val="1"/>
    <w:next w:val="13"/>
    <w:qFormat/>
    <w:uiPriority w:val="0"/>
    <w:pPr>
      <w:spacing w:line="14" w:lineRule="exact"/>
      <w:ind w:left="811" w:hanging="448"/>
      <w:jc w:val="center"/>
      <w:outlineLvl w:val="0"/>
    </w:pPr>
    <w:rPr>
      <w:color w:val="FFFFFF"/>
    </w:rPr>
  </w:style>
  <w:style w:type="character" w:customStyle="1" w:styleId="38">
    <w:name w:val="ft5"/>
    <w:basedOn w:val="9"/>
    <w:qFormat/>
    <w:uiPriority w:val="0"/>
  </w:style>
  <w:style w:type="character" w:customStyle="1" w:styleId="39">
    <w:name w:val="ft3"/>
    <w:basedOn w:val="9"/>
    <w:qFormat/>
    <w:uiPriority w:val="0"/>
  </w:style>
  <w:style w:type="character" w:customStyle="1" w:styleId="40">
    <w:name w:val="ft8"/>
    <w:basedOn w:val="9"/>
    <w:qFormat/>
    <w:uiPriority w:val="0"/>
  </w:style>
  <w:style w:type="character" w:customStyle="1" w:styleId="41">
    <w:name w:val="ft11"/>
    <w:basedOn w:val="9"/>
    <w:qFormat/>
    <w:uiPriority w:val="0"/>
  </w:style>
  <w:style w:type="character" w:customStyle="1" w:styleId="42">
    <w:name w:val="页眉 Char"/>
    <w:basedOn w:val="9"/>
    <w:link w:val="6"/>
    <w:qFormat/>
    <w:uiPriority w:val="0"/>
    <w:rPr>
      <w:kern w:val="2"/>
      <w:sz w:val="18"/>
      <w:szCs w:val="18"/>
    </w:rPr>
  </w:style>
  <w:style w:type="character" w:customStyle="1" w:styleId="43">
    <w:name w:val="批注框文本 Char"/>
    <w:basedOn w:val="9"/>
    <w:link w:val="4"/>
    <w:qFormat/>
    <w:uiPriority w:val="0"/>
    <w:rPr>
      <w:kern w:val="2"/>
      <w:sz w:val="18"/>
      <w:szCs w:val="18"/>
    </w:rPr>
  </w:style>
  <w:style w:type="character" w:customStyle="1" w:styleId="44">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111</Pages>
  <Words>28499</Words>
  <Characters>29367</Characters>
  <Lines>231</Lines>
  <Paragraphs>65</Paragraphs>
  <TotalTime>244</TotalTime>
  <ScaleCrop>false</ScaleCrop>
  <LinksUpToDate>false</LinksUpToDate>
  <CharactersWithSpaces>31323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2018-07-25T06:01:00Z</dcterms:created>
  <dc:creator>Administrator</dc:creator>
  <cp:lastModifiedBy>梦游黑猫</cp:lastModifiedBy>
  <cp:lastPrinted>2019-08-30T05:28:00Z</cp:lastPrinted>
  <dcterms:modified xsi:type="dcterms:W3CDTF">2022-05-23T06:00:52Z</dcterms:modified>
  <dc:title>大连市经济和信息化行政许可</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13DD2A45BCC644E9B876AD1D366BDBAA</vt:lpwstr>
  </property>
</Properties>
</file>