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jc w:val="center"/>
        <w:rPr>
          <w:rFonts w:ascii="宋体" w:hAnsi="宋体" w:eastAsia="宋体" w:cs="宋体"/>
          <w:sz w:val="44"/>
        </w:rPr>
      </w:pPr>
      <w:r>
        <w:rPr>
          <w:rFonts w:ascii="宋体" w:hAnsi="宋体" w:eastAsia="宋体" w:cs="宋体"/>
          <w:sz w:val="44"/>
        </w:rPr>
        <w:t>大连市</w:t>
      </w:r>
      <w:r>
        <w:rPr>
          <w:rFonts w:hint="eastAsia" w:ascii="宋体" w:hAnsi="宋体" w:eastAsia="宋体" w:cs="宋体"/>
          <w:sz w:val="44"/>
        </w:rPr>
        <w:t>工业</w:t>
      </w:r>
      <w:r>
        <w:rPr>
          <w:rFonts w:ascii="宋体" w:hAnsi="宋体" w:eastAsia="宋体" w:cs="宋体"/>
          <w:sz w:val="44"/>
        </w:rPr>
        <w:t>和信息化行政检查裁量基准</w:t>
      </w:r>
    </w:p>
    <w:p>
      <w:pPr>
        <w:tabs>
          <w:tab w:val="center" w:pos="4153"/>
          <w:tab w:val="left" w:pos="7980"/>
          <w:tab w:val="right" w:pos="8306"/>
        </w:tabs>
        <w:rPr>
          <w:rFonts w:ascii="黑体" w:hAnsi="黑体" w:eastAsia="黑体" w:cs="黑体"/>
          <w:sz w:val="32"/>
        </w:rPr>
      </w:pPr>
      <w:r>
        <w:rPr>
          <w:rFonts w:ascii="华文仿宋" w:hAnsi="华文仿宋" w:eastAsia="华文仿宋" w:cs="华文仿宋"/>
          <w:sz w:val="32"/>
        </w:rPr>
        <w:t xml:space="preserve">       </w:t>
      </w:r>
      <w:r>
        <w:rPr>
          <w:rFonts w:ascii="黑体" w:hAnsi="黑体" w:eastAsia="黑体" w:cs="黑体"/>
          <w:sz w:val="32"/>
        </w:rPr>
        <w:t xml:space="preserve">      </w:t>
      </w:r>
      <w:r>
        <w:rPr>
          <w:rFonts w:ascii="黑体" w:hAnsi="黑体" w:eastAsia="黑体" w:cs="黑体"/>
          <w:sz w:val="32"/>
        </w:rPr>
        <w:tab/>
      </w:r>
    </w:p>
    <w:p>
      <w:pPr>
        <w:tabs>
          <w:tab w:val="center" w:pos="4153"/>
          <w:tab w:val="left" w:pos="7980"/>
          <w:tab w:val="right" w:pos="8306"/>
        </w:tabs>
        <w:jc w:val="center"/>
        <w:rPr>
          <w:rFonts w:ascii="黑体" w:hAnsi="黑体" w:eastAsia="黑体" w:cs="黑体"/>
          <w:sz w:val="32"/>
        </w:rPr>
      </w:pPr>
      <w:r>
        <w:rPr>
          <w:rFonts w:ascii="黑体" w:hAnsi="黑体" w:eastAsia="黑体" w:cs="黑体"/>
          <w:sz w:val="32"/>
        </w:rPr>
        <w:t>总  则</w:t>
      </w:r>
    </w:p>
    <w:p>
      <w:pPr>
        <w:tabs>
          <w:tab w:val="center" w:pos="4153"/>
          <w:tab w:val="left" w:pos="7980"/>
          <w:tab w:val="right" w:pos="8306"/>
        </w:tabs>
        <w:rPr>
          <w:rFonts w:ascii="仿宋" w:hAnsi="仿宋" w:eastAsia="仿宋" w:cs="仿宋"/>
          <w:sz w:val="32"/>
        </w:rPr>
      </w:pPr>
      <w:r>
        <w:rPr>
          <w:rFonts w:ascii="黑体" w:hAnsi="黑体" w:eastAsia="黑体" w:cs="黑体"/>
          <w:sz w:val="32"/>
        </w:rPr>
        <w:t xml:space="preserve">    </w:t>
      </w:r>
      <w:r>
        <w:rPr>
          <w:rFonts w:ascii="仿宋" w:hAnsi="仿宋" w:eastAsia="仿宋" w:cs="仿宋"/>
          <w:b/>
          <w:sz w:val="32"/>
        </w:rPr>
        <w:t>第一条</w:t>
      </w:r>
      <w:r>
        <w:rPr>
          <w:rFonts w:hint="eastAsia" w:ascii="仿宋" w:hAnsi="仿宋" w:eastAsia="仿宋" w:cs="仿宋"/>
          <w:sz w:val="32"/>
          <w:lang w:val="en-US" w:eastAsia="zh-CN"/>
        </w:rPr>
        <w:t xml:space="preserve"> </w:t>
      </w:r>
      <w:r>
        <w:rPr>
          <w:rFonts w:ascii="仿宋" w:hAnsi="仿宋" w:eastAsia="仿宋" w:cs="仿宋"/>
          <w:sz w:val="32"/>
        </w:rPr>
        <w:t>为规范和监督大连市</w:t>
      </w:r>
      <w:r>
        <w:rPr>
          <w:rFonts w:hint="eastAsia" w:ascii="仿宋" w:hAnsi="仿宋" w:eastAsia="仿宋" w:cs="仿宋"/>
          <w:sz w:val="32"/>
        </w:rPr>
        <w:t>工业</w:t>
      </w:r>
      <w:r>
        <w:rPr>
          <w:rFonts w:ascii="仿宋" w:hAnsi="仿宋" w:eastAsia="仿宋" w:cs="仿宋"/>
          <w:sz w:val="32"/>
        </w:rPr>
        <w:t>和信息化行政检查裁量的行使，促进依法行政，保护自然人、法人和其他组织的合法权益，依据《辽宁省规范行政裁量权办法》</w:t>
      </w:r>
      <w:r>
        <w:rPr>
          <w:rFonts w:hint="eastAsia" w:ascii="仿宋" w:hAnsi="仿宋" w:eastAsia="仿宋" w:cs="仿宋"/>
          <w:sz w:val="32"/>
        </w:rPr>
        <w:t>（省政府令第252号）</w:t>
      </w:r>
      <w:r>
        <w:rPr>
          <w:rFonts w:ascii="仿宋" w:hAnsi="仿宋" w:eastAsia="仿宋" w:cs="仿宋"/>
          <w:sz w:val="32"/>
        </w:rPr>
        <w:t>的有关规定，结合行政检查实际情况，制定本制度。</w:t>
      </w:r>
    </w:p>
    <w:p>
      <w:pPr>
        <w:ind w:firstLine="643"/>
        <w:jc w:val="left"/>
        <w:rPr>
          <w:rFonts w:ascii="仿宋" w:hAnsi="仿宋" w:eastAsia="仿宋" w:cs="仿宋"/>
          <w:sz w:val="32"/>
        </w:rPr>
      </w:pPr>
      <w:r>
        <w:rPr>
          <w:rFonts w:ascii="仿宋" w:hAnsi="仿宋" w:eastAsia="仿宋" w:cs="仿宋"/>
          <w:b/>
          <w:sz w:val="32"/>
        </w:rPr>
        <w:t>第二条</w:t>
      </w:r>
      <w:r>
        <w:rPr>
          <w:rFonts w:hint="eastAsia" w:ascii="仿宋" w:hAnsi="仿宋" w:eastAsia="仿宋" w:cs="仿宋"/>
          <w:sz w:val="32"/>
          <w:lang w:val="en-US" w:eastAsia="zh-CN"/>
        </w:rPr>
        <w:t xml:space="preserve"> </w:t>
      </w:r>
      <w:r>
        <w:rPr>
          <w:rFonts w:ascii="仿宋" w:hAnsi="仿宋" w:eastAsia="仿宋" w:cs="仿宋"/>
          <w:sz w:val="32"/>
        </w:rPr>
        <w:t>本市行政区域内</w:t>
      </w:r>
      <w:r>
        <w:rPr>
          <w:rFonts w:hint="eastAsia" w:ascii="仿宋" w:hAnsi="仿宋" w:eastAsia="仿宋" w:cs="仿宋"/>
          <w:sz w:val="32"/>
        </w:rPr>
        <w:t>工业</w:t>
      </w:r>
      <w:r>
        <w:rPr>
          <w:rFonts w:ascii="仿宋" w:hAnsi="仿宋" w:eastAsia="仿宋" w:cs="仿宋"/>
          <w:sz w:val="32"/>
        </w:rPr>
        <w:t>和信息化行政检查适用本制度。</w:t>
      </w:r>
    </w:p>
    <w:p>
      <w:pPr>
        <w:rPr>
          <w:rFonts w:ascii="仿宋" w:hAnsi="仿宋" w:eastAsia="仿宋" w:cs="仿宋"/>
          <w:sz w:val="32"/>
        </w:rPr>
      </w:pPr>
      <w:r>
        <w:rPr>
          <w:rFonts w:ascii="仿宋" w:hAnsi="仿宋" w:eastAsia="仿宋" w:cs="仿宋"/>
          <w:sz w:val="32"/>
        </w:rPr>
        <w:t xml:space="preserve">    </w:t>
      </w:r>
      <w:r>
        <w:rPr>
          <w:rFonts w:ascii="仿宋" w:hAnsi="仿宋" w:eastAsia="仿宋" w:cs="仿宋"/>
          <w:b/>
          <w:sz w:val="32"/>
        </w:rPr>
        <w:t>第三条</w:t>
      </w:r>
      <w:r>
        <w:rPr>
          <w:rFonts w:hint="eastAsia" w:ascii="仿宋" w:hAnsi="仿宋" w:eastAsia="仿宋" w:cs="仿宋"/>
          <w:sz w:val="32"/>
          <w:lang w:val="en-US" w:eastAsia="zh-CN"/>
        </w:rPr>
        <w:t xml:space="preserve"> </w:t>
      </w:r>
      <w:r>
        <w:rPr>
          <w:rFonts w:ascii="仿宋" w:hAnsi="仿宋" w:eastAsia="仿宋" w:cs="仿宋"/>
          <w:sz w:val="32"/>
        </w:rPr>
        <w:t>本制度所称行政检查裁量权，是指大连市</w:t>
      </w:r>
      <w:r>
        <w:rPr>
          <w:rFonts w:hint="eastAsia" w:ascii="仿宋" w:hAnsi="仿宋" w:eastAsia="仿宋" w:cs="仿宋"/>
          <w:sz w:val="32"/>
        </w:rPr>
        <w:t>工业和信息化局</w:t>
      </w:r>
      <w:r>
        <w:rPr>
          <w:rFonts w:ascii="仿宋" w:hAnsi="仿宋" w:eastAsia="仿宋" w:cs="仿宋"/>
          <w:sz w:val="32"/>
        </w:rPr>
        <w:t>依照法定职责，对行政相对人遵守法律、法规、规章以及执行行政决定、行政命令等情况实施监督检查时进行综合判断，并作出决定的权限。</w:t>
      </w:r>
    </w:p>
    <w:p>
      <w:pPr>
        <w:ind w:firstLine="643"/>
        <w:rPr>
          <w:rFonts w:ascii="仿宋" w:hAnsi="仿宋" w:eastAsia="仿宋" w:cs="仿宋"/>
          <w:sz w:val="32"/>
        </w:rPr>
      </w:pPr>
      <w:r>
        <w:rPr>
          <w:rFonts w:ascii="仿宋" w:hAnsi="仿宋" w:eastAsia="仿宋" w:cs="仿宋"/>
          <w:b/>
          <w:sz w:val="32"/>
        </w:rPr>
        <w:t>第四条</w:t>
      </w:r>
      <w:r>
        <w:rPr>
          <w:rFonts w:hint="eastAsia" w:ascii="仿宋" w:hAnsi="仿宋" w:eastAsia="仿宋" w:cs="仿宋"/>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和信息化行政主管部门按照规定的权限负责本行政区域内行政检查工作。</w:t>
      </w:r>
    </w:p>
    <w:p>
      <w:pPr>
        <w:rPr>
          <w:rFonts w:ascii="仿宋" w:hAnsi="仿宋" w:eastAsia="仿宋" w:cs="仿宋"/>
          <w:sz w:val="32"/>
        </w:rPr>
      </w:pPr>
      <w:r>
        <w:rPr>
          <w:rFonts w:ascii="仿宋" w:hAnsi="仿宋" w:eastAsia="仿宋" w:cs="仿宋"/>
          <w:sz w:val="32"/>
        </w:rPr>
        <w:t xml:space="preserve">    具有行政管理职能的行政机构根据授权或委托，负责区域内</w:t>
      </w:r>
      <w:r>
        <w:rPr>
          <w:rFonts w:hint="eastAsia" w:ascii="仿宋" w:hAnsi="仿宋" w:eastAsia="仿宋" w:cs="仿宋"/>
          <w:sz w:val="32"/>
        </w:rPr>
        <w:t>工业</w:t>
      </w:r>
      <w:r>
        <w:rPr>
          <w:rFonts w:ascii="仿宋" w:hAnsi="仿宋" w:eastAsia="仿宋" w:cs="仿宋"/>
          <w:sz w:val="32"/>
        </w:rPr>
        <w:t>和信息化行政检查工作。</w:t>
      </w:r>
    </w:p>
    <w:p>
      <w:pPr>
        <w:ind w:firstLine="643"/>
        <w:rPr>
          <w:rFonts w:ascii="仿宋" w:hAnsi="仿宋" w:eastAsia="仿宋" w:cs="仿宋"/>
          <w:sz w:val="32"/>
        </w:rPr>
      </w:pPr>
      <w:r>
        <w:rPr>
          <w:rFonts w:ascii="仿宋" w:hAnsi="仿宋" w:eastAsia="仿宋" w:cs="仿宋"/>
          <w:b/>
          <w:sz w:val="32"/>
        </w:rPr>
        <w:t>第五条</w:t>
      </w:r>
      <w:r>
        <w:rPr>
          <w:rFonts w:hint="eastAsia" w:ascii="仿宋" w:hAnsi="仿宋" w:eastAsia="仿宋" w:cs="仿宋"/>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主管部门应当根据法定职责编制年度检查计划，检查计划应当包括行使行政检查权的机构名称、行政相对人、检查的具体事宜、检查的法律依据、检查方式、检查时间、可以进行联合行政检查机关名称等。</w:t>
      </w:r>
    </w:p>
    <w:p>
      <w:pPr>
        <w:ind w:firstLine="643"/>
        <w:rPr>
          <w:rFonts w:ascii="仿宋" w:hAnsi="仿宋" w:eastAsia="仿宋" w:cs="仿宋"/>
          <w:sz w:val="32"/>
        </w:rPr>
      </w:pPr>
      <w:r>
        <w:rPr>
          <w:rFonts w:ascii="仿宋" w:hAnsi="仿宋" w:eastAsia="仿宋" w:cs="仿宋"/>
          <w:b/>
          <w:sz w:val="32"/>
        </w:rPr>
        <w:t>第六条</w:t>
      </w:r>
      <w:r>
        <w:rPr>
          <w:rFonts w:hint="eastAsia" w:ascii="仿宋" w:hAnsi="仿宋" w:eastAsia="仿宋" w:cs="仿宋"/>
          <w:b/>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和信息化行政执法人员在行政检查中，可以采取查阅资料、勘察、拍照、录像、抽样取证、听取汇报、谈话询问</w:t>
      </w:r>
      <w:r>
        <w:rPr>
          <w:rFonts w:hint="eastAsia" w:ascii="仿宋" w:hAnsi="仿宋" w:eastAsia="仿宋" w:cs="仿宋"/>
          <w:sz w:val="32"/>
        </w:rPr>
        <w:t>，</w:t>
      </w:r>
      <w:r>
        <w:rPr>
          <w:rFonts w:ascii="仿宋" w:hAnsi="仿宋" w:eastAsia="仿宋" w:cs="仿宋"/>
          <w:sz w:val="32"/>
        </w:rPr>
        <w:t>监测和分析评价等方式进行。</w:t>
      </w:r>
    </w:p>
    <w:p>
      <w:pPr>
        <w:ind w:firstLine="643"/>
        <w:rPr>
          <w:rFonts w:ascii="仿宋" w:hAnsi="仿宋" w:eastAsia="仿宋" w:cs="仿宋"/>
          <w:sz w:val="32"/>
        </w:rPr>
      </w:pPr>
      <w:r>
        <w:rPr>
          <w:rFonts w:ascii="仿宋" w:hAnsi="仿宋" w:eastAsia="仿宋" w:cs="仿宋"/>
          <w:b/>
          <w:sz w:val="32"/>
        </w:rPr>
        <w:t>第七条</w:t>
      </w:r>
      <w:r>
        <w:rPr>
          <w:rFonts w:hint="eastAsia" w:ascii="仿宋" w:hAnsi="仿宋" w:eastAsia="仿宋" w:cs="仿宋"/>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和信息化行政主管部门行政检查人员在进行监督检查时，有权依法采取下列措施：</w:t>
      </w:r>
    </w:p>
    <w:p>
      <w:pPr>
        <w:ind w:firstLine="640"/>
        <w:rPr>
          <w:rFonts w:ascii="仿宋" w:hAnsi="仿宋" w:eastAsia="仿宋" w:cs="仿宋"/>
          <w:sz w:val="32"/>
        </w:rPr>
      </w:pPr>
      <w:r>
        <w:rPr>
          <w:rFonts w:ascii="仿宋" w:hAnsi="仿宋" w:eastAsia="仿宋" w:cs="仿宋"/>
          <w:sz w:val="32"/>
        </w:rPr>
        <w:t>（一）要求行政相对人提供涉及检查事项有关文件、证照、资料；</w:t>
      </w:r>
    </w:p>
    <w:p>
      <w:pPr>
        <w:ind w:firstLine="640"/>
        <w:rPr>
          <w:rFonts w:ascii="仿宋" w:hAnsi="仿宋" w:eastAsia="仿宋" w:cs="仿宋"/>
          <w:sz w:val="32"/>
        </w:rPr>
      </w:pPr>
      <w:r>
        <w:rPr>
          <w:rFonts w:ascii="仿宋" w:hAnsi="仿宋" w:eastAsia="仿宋" w:cs="仿宋"/>
          <w:sz w:val="32"/>
        </w:rPr>
        <w:t>（二）要求行政相对人对执行有关法律、法规的相关问题作出说明；</w:t>
      </w:r>
    </w:p>
    <w:p>
      <w:pPr>
        <w:ind w:firstLine="640"/>
        <w:rPr>
          <w:rFonts w:ascii="仿宋" w:hAnsi="仿宋" w:eastAsia="仿宋" w:cs="仿宋"/>
          <w:sz w:val="32"/>
        </w:rPr>
      </w:pPr>
      <w:r>
        <w:rPr>
          <w:rFonts w:ascii="仿宋" w:hAnsi="仿宋" w:eastAsia="仿宋" w:cs="仿宋"/>
          <w:sz w:val="32"/>
        </w:rPr>
        <w:t>（三）进入行政相对人的生产场所进行调查；</w:t>
      </w:r>
    </w:p>
    <w:p>
      <w:pPr>
        <w:ind w:firstLine="640"/>
        <w:rPr>
          <w:rFonts w:ascii="仿宋" w:hAnsi="仿宋" w:eastAsia="仿宋" w:cs="仿宋"/>
          <w:sz w:val="32"/>
        </w:rPr>
      </w:pPr>
      <w:r>
        <w:rPr>
          <w:rFonts w:ascii="仿宋" w:hAnsi="仿宋" w:eastAsia="仿宋" w:cs="仿宋"/>
          <w:sz w:val="32"/>
        </w:rPr>
        <w:t>（四）责令行政相对人停止违反有关法律、法规的行为，履行法定义务。</w:t>
      </w:r>
    </w:p>
    <w:p>
      <w:pPr>
        <w:ind w:firstLine="643"/>
        <w:rPr>
          <w:rFonts w:ascii="仿宋" w:hAnsi="仿宋" w:eastAsia="仿宋" w:cs="仿宋"/>
          <w:sz w:val="32"/>
        </w:rPr>
      </w:pPr>
      <w:r>
        <w:rPr>
          <w:rFonts w:ascii="仿宋" w:hAnsi="仿宋" w:eastAsia="仿宋" w:cs="仿宋"/>
          <w:b/>
          <w:sz w:val="32"/>
        </w:rPr>
        <w:t>第八条</w:t>
      </w:r>
      <w:r>
        <w:rPr>
          <w:rFonts w:hint="eastAsia" w:ascii="仿宋" w:hAnsi="仿宋" w:eastAsia="仿宋" w:cs="仿宋"/>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和信息化行政检查应当采取“双随机、一公开”的方式进行。</w:t>
      </w:r>
    </w:p>
    <w:p>
      <w:pPr>
        <w:ind w:firstLine="640"/>
        <w:rPr>
          <w:rFonts w:ascii="仿宋" w:hAnsi="仿宋" w:eastAsia="仿宋" w:cs="仿宋"/>
          <w:sz w:val="32"/>
        </w:rPr>
      </w:pPr>
      <w:r>
        <w:rPr>
          <w:rFonts w:ascii="仿宋" w:hAnsi="仿宋" w:eastAsia="仿宋" w:cs="仿宋"/>
          <w:sz w:val="32"/>
        </w:rPr>
        <w:t>因国家统一部署、上级交办、有关部门移送、投诉、举报等原因对具体检查对象的行政检查，以及因行业管理或上级安排开展的巡查工作不受上述方式限制。</w:t>
      </w:r>
    </w:p>
    <w:p>
      <w:pPr>
        <w:ind w:firstLine="643"/>
        <w:rPr>
          <w:rFonts w:ascii="仿宋" w:hAnsi="仿宋" w:eastAsia="仿宋" w:cs="仿宋"/>
          <w:sz w:val="32"/>
        </w:rPr>
      </w:pPr>
      <w:r>
        <w:rPr>
          <w:rFonts w:ascii="仿宋" w:hAnsi="仿宋" w:eastAsia="仿宋" w:cs="仿宋"/>
          <w:b/>
          <w:sz w:val="32"/>
        </w:rPr>
        <w:t>第九条</w:t>
      </w:r>
      <w:r>
        <w:rPr>
          <w:rFonts w:hint="eastAsia" w:ascii="仿宋" w:hAnsi="仿宋" w:eastAsia="仿宋" w:cs="仿宋"/>
          <w:sz w:val="32"/>
          <w:lang w:val="en-US" w:eastAsia="zh-CN"/>
        </w:rPr>
        <w:t xml:space="preserve"> </w:t>
      </w:r>
      <w:r>
        <w:rPr>
          <w:rFonts w:hint="eastAsia" w:ascii="仿宋" w:hAnsi="仿宋" w:eastAsia="仿宋" w:cs="仿宋"/>
          <w:sz w:val="32"/>
        </w:rPr>
        <w:t>工业</w:t>
      </w:r>
      <w:r>
        <w:rPr>
          <w:rFonts w:ascii="仿宋" w:hAnsi="仿宋" w:eastAsia="仿宋" w:cs="仿宋"/>
          <w:sz w:val="32"/>
        </w:rPr>
        <w:t>和信息化行政检查人员依法进行行政检查，应当履行如下责任：</w:t>
      </w:r>
    </w:p>
    <w:p>
      <w:pPr>
        <w:ind w:firstLine="640"/>
        <w:rPr>
          <w:rFonts w:ascii="仿宋" w:hAnsi="仿宋" w:eastAsia="仿宋" w:cs="仿宋"/>
          <w:sz w:val="32"/>
        </w:rPr>
      </w:pPr>
      <w:r>
        <w:rPr>
          <w:rFonts w:ascii="仿宋" w:hAnsi="仿宋" w:eastAsia="仿宋" w:cs="仿宋"/>
          <w:sz w:val="32"/>
        </w:rPr>
        <w:t>（一）依法定程序进行行政检查；</w:t>
      </w:r>
    </w:p>
    <w:p>
      <w:pPr>
        <w:ind w:firstLine="640"/>
        <w:rPr>
          <w:rFonts w:ascii="仿宋" w:hAnsi="仿宋" w:eastAsia="仿宋" w:cs="仿宋"/>
          <w:sz w:val="32"/>
        </w:rPr>
      </w:pPr>
      <w:r>
        <w:rPr>
          <w:rFonts w:ascii="仿宋" w:hAnsi="仿宋" w:eastAsia="仿宋" w:cs="仿宋"/>
          <w:sz w:val="32"/>
        </w:rPr>
        <w:t>（二）两名以上持有合法有效行政执法证件的行政执法人应向行政相对人出具证件和《行政检查通知书》，说明来意，告知行政相对人权利和义务；</w:t>
      </w:r>
    </w:p>
    <w:p>
      <w:pPr>
        <w:ind w:firstLine="640"/>
        <w:rPr>
          <w:rFonts w:ascii="仿宋" w:hAnsi="仿宋" w:eastAsia="仿宋" w:cs="仿宋"/>
          <w:sz w:val="32"/>
        </w:rPr>
      </w:pPr>
      <w:r>
        <w:rPr>
          <w:rFonts w:ascii="仿宋" w:hAnsi="仿宋" w:eastAsia="仿宋" w:cs="仿宋"/>
          <w:sz w:val="32"/>
        </w:rPr>
        <w:t>（三）对于检查中责令限期改正的，</w:t>
      </w:r>
      <w:r>
        <w:rPr>
          <w:rFonts w:hint="eastAsia" w:ascii="仿宋" w:hAnsi="仿宋" w:eastAsia="仿宋" w:cs="仿宋"/>
          <w:sz w:val="32"/>
        </w:rPr>
        <w:t>工业</w:t>
      </w:r>
      <w:r>
        <w:rPr>
          <w:rFonts w:ascii="仿宋" w:hAnsi="仿宋" w:eastAsia="仿宋" w:cs="仿宋"/>
          <w:sz w:val="32"/>
        </w:rPr>
        <w:t>和信息化行政主管部门，应按照检查文书中规定的日期，另行指派两名行政执法人员对行政相对人改正情况进行复查，并制作复查笔录；</w:t>
      </w:r>
    </w:p>
    <w:p>
      <w:pPr>
        <w:ind w:firstLine="640"/>
        <w:rPr>
          <w:rFonts w:ascii="仿宋" w:hAnsi="仿宋" w:eastAsia="仿宋" w:cs="仿宋"/>
          <w:sz w:val="32"/>
        </w:rPr>
      </w:pPr>
      <w:r>
        <w:rPr>
          <w:rFonts w:ascii="仿宋" w:hAnsi="仿宋" w:eastAsia="仿宋" w:cs="仿宋"/>
          <w:sz w:val="32"/>
        </w:rPr>
        <w:t>（四）行政执法人员应当对行政检查全过程进行记录，按照有关要求制作行政检查文书，行政检查文书应使用本机关统一流水号编码，严格文书领取和收回制度。形成行政检查卷宗成卷后10个工作日内，按照本机关档案管理规定归档保存。</w:t>
      </w:r>
    </w:p>
    <w:p>
      <w:pPr>
        <w:ind w:firstLine="643"/>
        <w:rPr>
          <w:rFonts w:ascii="仿宋" w:hAnsi="仿宋" w:eastAsia="仿宋" w:cs="仿宋"/>
          <w:sz w:val="32"/>
        </w:rPr>
      </w:pPr>
      <w:r>
        <w:rPr>
          <w:rFonts w:ascii="仿宋" w:hAnsi="仿宋" w:eastAsia="仿宋" w:cs="仿宋"/>
          <w:b/>
          <w:sz w:val="32"/>
        </w:rPr>
        <w:t>第十条</w:t>
      </w:r>
      <w:r>
        <w:rPr>
          <w:rFonts w:hint="eastAsia" w:ascii="仿宋" w:hAnsi="仿宋" w:eastAsia="仿宋" w:cs="仿宋"/>
          <w:sz w:val="32"/>
          <w:lang w:val="en-US" w:eastAsia="zh-CN"/>
        </w:rPr>
        <w:t xml:space="preserve"> </w:t>
      </w:r>
      <w:r>
        <w:rPr>
          <w:rFonts w:ascii="仿宋" w:hAnsi="仿宋" w:eastAsia="仿宋" w:cs="仿宋"/>
          <w:sz w:val="32"/>
        </w:rPr>
        <w:t>检查工作依据不同情况作如下处理：</w:t>
      </w:r>
    </w:p>
    <w:p>
      <w:pPr>
        <w:ind w:firstLine="630"/>
        <w:rPr>
          <w:rFonts w:ascii="仿宋" w:hAnsi="仿宋" w:eastAsia="仿宋" w:cs="仿宋"/>
          <w:sz w:val="32"/>
        </w:rPr>
      </w:pPr>
      <w:r>
        <w:rPr>
          <w:rFonts w:ascii="仿宋" w:hAnsi="仿宋" w:eastAsia="仿宋" w:cs="仿宋"/>
          <w:sz w:val="32"/>
        </w:rPr>
        <w:t xml:space="preserve">（一）未发现违法行为的，依法向行政相对人下达行政检查结论文书，形成检查卷宗，按照规定归档; </w:t>
      </w:r>
    </w:p>
    <w:p>
      <w:pPr>
        <w:ind w:firstLine="630"/>
        <w:rPr>
          <w:rFonts w:ascii="仿宋" w:hAnsi="仿宋" w:eastAsia="仿宋" w:cs="仿宋"/>
          <w:sz w:val="32"/>
        </w:rPr>
      </w:pPr>
      <w:r>
        <w:rPr>
          <w:rFonts w:ascii="仿宋" w:hAnsi="仿宋" w:eastAsia="仿宋" w:cs="仿宋"/>
          <w:sz w:val="32"/>
        </w:rPr>
        <w:t xml:space="preserve">（二）发现违法行为的，责令当场或限期改正违法行为，依法向行政相对人下达行政检查结论文书，并依据《中华人民共和国行政处罚法》、《民用爆炸物品安全管理条例》规定的程序处理； </w:t>
      </w:r>
    </w:p>
    <w:p>
      <w:pPr>
        <w:rPr>
          <w:rFonts w:ascii="仿宋" w:hAnsi="仿宋" w:eastAsia="仿宋" w:cs="仿宋"/>
          <w:sz w:val="32"/>
        </w:rPr>
      </w:pPr>
      <w:r>
        <w:rPr>
          <w:rFonts w:ascii="仿宋" w:hAnsi="仿宋" w:eastAsia="仿宋" w:cs="仿宋"/>
          <w:sz w:val="32"/>
        </w:rPr>
        <w:t xml:space="preserve">　　（三）涉及其他监管部门的，应当按规定通报有关部门联合调查或者将案件有关资料移送有管辖权的部门，并作好记录； </w:t>
      </w:r>
    </w:p>
    <w:p>
      <w:pPr>
        <w:rPr>
          <w:rFonts w:ascii="仿宋" w:hAnsi="仿宋" w:eastAsia="仿宋" w:cs="仿宋"/>
          <w:sz w:val="32"/>
        </w:rPr>
      </w:pPr>
      <w:r>
        <w:rPr>
          <w:rFonts w:ascii="仿宋" w:hAnsi="仿宋" w:eastAsia="仿宋" w:cs="仿宋"/>
          <w:sz w:val="32"/>
        </w:rPr>
        <w:t xml:space="preserve">    （四）涉嫌犯罪的，应当依法移送。</w:t>
      </w:r>
    </w:p>
    <w:p>
      <w:pPr>
        <w:ind w:firstLine="643"/>
        <w:rPr>
          <w:rFonts w:ascii="仿宋" w:hAnsi="仿宋" w:eastAsia="仿宋" w:cs="仿宋"/>
          <w:sz w:val="32"/>
        </w:rPr>
      </w:pPr>
      <w:r>
        <w:rPr>
          <w:rFonts w:ascii="仿宋" w:hAnsi="仿宋" w:eastAsia="仿宋" w:cs="仿宋"/>
          <w:b/>
          <w:sz w:val="32"/>
        </w:rPr>
        <w:t>第十一条</w:t>
      </w:r>
      <w:r>
        <w:rPr>
          <w:rFonts w:hint="eastAsia" w:ascii="仿宋" w:hAnsi="仿宋" w:eastAsia="仿宋" w:cs="仿宋"/>
          <w:sz w:val="32"/>
          <w:lang w:val="en-US" w:eastAsia="zh-CN"/>
        </w:rPr>
        <w:t xml:space="preserve"> </w:t>
      </w:r>
      <w:r>
        <w:rPr>
          <w:rFonts w:ascii="仿宋" w:hAnsi="仿宋" w:eastAsia="仿宋" w:cs="仿宋"/>
          <w:sz w:val="32"/>
        </w:rPr>
        <w:t>行政检查完成后，应将行政检查结论在7日内依法送达行政相对人。</w:t>
      </w:r>
    </w:p>
    <w:p>
      <w:pPr>
        <w:ind w:firstLine="643"/>
        <w:rPr>
          <w:rFonts w:ascii="仿宋" w:hAnsi="仿宋" w:eastAsia="仿宋" w:cs="仿宋"/>
          <w:sz w:val="32"/>
        </w:rPr>
      </w:pPr>
      <w:r>
        <w:rPr>
          <w:rFonts w:ascii="仿宋" w:hAnsi="仿宋" w:eastAsia="仿宋" w:cs="仿宋"/>
          <w:b/>
          <w:sz w:val="32"/>
        </w:rPr>
        <w:t>第十二条</w:t>
      </w:r>
      <w:r>
        <w:rPr>
          <w:rFonts w:hint="eastAsia" w:ascii="仿宋" w:hAnsi="仿宋" w:eastAsia="仿宋" w:cs="仿宋"/>
          <w:sz w:val="32"/>
          <w:lang w:val="en-US" w:eastAsia="zh-CN"/>
        </w:rPr>
        <w:t xml:space="preserve"> </w:t>
      </w:r>
      <w:r>
        <w:rPr>
          <w:rFonts w:ascii="仿宋" w:hAnsi="仿宋" w:eastAsia="仿宋" w:cs="仿宋"/>
          <w:sz w:val="32"/>
        </w:rPr>
        <w:t>行政检查结果应在检查结论送达行政相对人之日起20个工作日内在部门（地区）门户网站公示。</w:t>
      </w:r>
    </w:p>
    <w:p>
      <w:pPr>
        <w:tabs>
          <w:tab w:val="left" w:pos="5730"/>
          <w:tab w:val="left" w:pos="6390"/>
          <w:tab w:val="left" w:pos="6540"/>
          <w:tab w:val="left" w:pos="7065"/>
          <w:tab w:val="left" w:pos="7260"/>
        </w:tabs>
        <w:ind w:firstLine="640"/>
        <w:jc w:val="left"/>
        <w:rPr>
          <w:rFonts w:ascii="黑体" w:hAnsi="黑体" w:eastAsia="黑体" w:cs="黑体"/>
          <w:sz w:val="32"/>
        </w:rPr>
      </w:pPr>
      <w:r>
        <w:rPr>
          <w:rFonts w:ascii="黑体" w:hAnsi="黑体" w:eastAsia="黑体" w:cs="黑体"/>
          <w:sz w:val="32"/>
        </w:rPr>
        <w:tab/>
      </w:r>
      <w:r>
        <w:rPr>
          <w:rFonts w:ascii="黑体" w:hAnsi="黑体" w:eastAsia="黑体" w:cs="黑体"/>
          <w:sz w:val="32"/>
        </w:rPr>
        <w:tab/>
      </w:r>
    </w:p>
    <w:p>
      <w:pPr>
        <w:tabs>
          <w:tab w:val="left" w:pos="840"/>
          <w:tab w:val="left" w:pos="975"/>
          <w:tab w:val="left" w:pos="1050"/>
          <w:tab w:val="left" w:pos="1230"/>
          <w:tab w:val="left" w:pos="1290"/>
          <w:tab w:val="left" w:pos="1440"/>
          <w:tab w:val="left" w:pos="1695"/>
          <w:tab w:val="left" w:pos="2040"/>
          <w:tab w:val="left" w:pos="2070"/>
          <w:tab w:val="left" w:pos="2160"/>
          <w:tab w:val="left" w:pos="2340"/>
          <w:tab w:val="left" w:pos="2475"/>
          <w:tab w:val="left" w:pos="2760"/>
          <w:tab w:val="left" w:pos="2940"/>
          <w:tab w:val="left" w:pos="3165"/>
          <w:tab w:val="left" w:pos="3300"/>
          <w:tab w:val="left" w:pos="3540"/>
          <w:tab w:val="center" w:pos="4473"/>
        </w:tabs>
        <w:jc w:val="center"/>
        <w:rPr>
          <w:rFonts w:ascii="黑体" w:hAnsi="黑体" w:eastAsia="黑体" w:cs="黑体"/>
          <w:sz w:val="32"/>
        </w:rPr>
      </w:pPr>
      <w:r>
        <w:rPr>
          <w:rFonts w:ascii="黑体" w:hAnsi="黑体" w:eastAsia="黑体" w:cs="黑体"/>
          <w:sz w:val="32"/>
        </w:rPr>
        <w:t>分  则</w:t>
      </w:r>
    </w:p>
    <w:p>
      <w:pPr>
        <w:jc w:val="center"/>
        <w:rPr>
          <w:rFonts w:ascii="黑体" w:hAnsi="黑体" w:eastAsia="黑体" w:cs="黑体"/>
          <w:sz w:val="32"/>
        </w:rPr>
      </w:pPr>
    </w:p>
    <w:p>
      <w:pPr>
        <w:jc w:val="center"/>
        <w:rPr>
          <w:rFonts w:ascii="黑体" w:hAnsi="黑体" w:eastAsia="黑体" w:cs="黑体"/>
          <w:sz w:val="32"/>
        </w:rPr>
      </w:pPr>
      <w:r>
        <w:rPr>
          <w:rFonts w:ascii="黑体" w:hAnsi="黑体" w:eastAsia="黑体" w:cs="黑体"/>
          <w:sz w:val="32"/>
        </w:rPr>
        <w:t xml:space="preserve"> 民爆企业安全检查</w:t>
      </w:r>
    </w:p>
    <w:p>
      <w:pPr>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lang w:val="en-US" w:eastAsia="zh-CN"/>
        </w:rPr>
        <w:t>一</w:t>
      </w:r>
      <w:r>
        <w:rPr>
          <w:rFonts w:ascii="仿宋" w:hAnsi="仿宋" w:eastAsia="仿宋" w:cs="仿宋"/>
          <w:b/>
          <w:sz w:val="32"/>
        </w:rPr>
        <w:t>条</w:t>
      </w:r>
      <w:r>
        <w:rPr>
          <w:rFonts w:hint="eastAsia" w:ascii="仿宋" w:hAnsi="仿宋" w:eastAsia="仿宋" w:cs="仿宋"/>
          <w:b/>
          <w:sz w:val="32"/>
          <w:lang w:val="en-US" w:eastAsia="zh-CN"/>
        </w:rPr>
        <w:t xml:space="preserve"> </w:t>
      </w:r>
      <w:r>
        <w:rPr>
          <w:rFonts w:ascii="仿宋" w:hAnsi="仿宋" w:eastAsia="仿宋" w:cs="仿宋"/>
          <w:sz w:val="32"/>
        </w:rPr>
        <w:t>民爆企业安全检查对象为：依法取得民用爆炸物品生产许可、安全生产许可和销售许可的企业。</w:t>
      </w:r>
    </w:p>
    <w:p>
      <w:pPr>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lang w:eastAsia="zh-CN"/>
        </w:rPr>
        <w:t>二</w:t>
      </w:r>
      <w:r>
        <w:rPr>
          <w:rFonts w:ascii="仿宋" w:hAnsi="仿宋" w:eastAsia="仿宋" w:cs="仿宋"/>
          <w:b/>
          <w:sz w:val="32"/>
        </w:rPr>
        <w:t>条</w:t>
      </w:r>
      <w:r>
        <w:rPr>
          <w:rFonts w:hint="eastAsia" w:ascii="仿宋" w:hAnsi="仿宋" w:eastAsia="仿宋" w:cs="仿宋"/>
          <w:b/>
          <w:sz w:val="32"/>
          <w:lang w:val="en-US" w:eastAsia="zh-CN"/>
        </w:rPr>
        <w:t xml:space="preserve"> </w:t>
      </w:r>
      <w:r>
        <w:rPr>
          <w:rFonts w:hint="eastAsia" w:ascii="仿宋" w:hAnsi="仿宋" w:eastAsia="仿宋" w:cs="仿宋"/>
          <w:bCs/>
          <w:sz w:val="32"/>
        </w:rPr>
        <w:t>大连市工业和信息化局</w:t>
      </w:r>
      <w:r>
        <w:rPr>
          <w:rFonts w:ascii="仿宋" w:hAnsi="仿宋" w:eastAsia="仿宋" w:cs="仿宋"/>
          <w:sz w:val="32"/>
        </w:rPr>
        <w:t>实施民爆企业安全检查的法律依据：《民用爆炸物品安全管理条例》、《民用爆炸物品生产许可实施办法》、《民用爆炸物品安全生产许可实施办法》、《民用爆炸物品销售许可实施办法》。</w:t>
      </w:r>
    </w:p>
    <w:p>
      <w:pPr>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lang w:val="en-US" w:eastAsia="zh-CN"/>
        </w:rPr>
        <w:t>三</w:t>
      </w:r>
      <w:r>
        <w:rPr>
          <w:rFonts w:ascii="仿宋" w:hAnsi="仿宋" w:eastAsia="仿宋" w:cs="仿宋"/>
          <w:b/>
          <w:sz w:val="32"/>
        </w:rPr>
        <w:t>条</w:t>
      </w:r>
      <w:r>
        <w:rPr>
          <w:rFonts w:hint="eastAsia" w:ascii="仿宋" w:hAnsi="仿宋" w:eastAsia="仿宋" w:cs="仿宋"/>
          <w:b/>
          <w:sz w:val="32"/>
          <w:lang w:val="en-US" w:eastAsia="zh-CN"/>
        </w:rPr>
        <w:t xml:space="preserve"> </w:t>
      </w:r>
      <w:r>
        <w:rPr>
          <w:rFonts w:ascii="仿宋" w:hAnsi="仿宋" w:eastAsia="仿宋" w:cs="仿宋"/>
          <w:sz w:val="32"/>
        </w:rPr>
        <w:t>民爆行业管理部门应对民爆企业以下方面展开安全检查工作：</w:t>
      </w:r>
    </w:p>
    <w:p>
      <w:pPr>
        <w:ind w:firstLine="640"/>
        <w:rPr>
          <w:rFonts w:ascii="仿宋" w:hAnsi="仿宋" w:eastAsia="仿宋" w:cs="仿宋"/>
          <w:sz w:val="32"/>
        </w:rPr>
      </w:pPr>
      <w:r>
        <w:rPr>
          <w:rFonts w:ascii="仿宋" w:hAnsi="仿宋" w:eastAsia="仿宋" w:cs="仿宋"/>
          <w:sz w:val="32"/>
        </w:rPr>
        <w:t>（一）民爆生产企业是否取得《民用爆炸物品生产许可证》，民爆生产企业是否在取得《民用爆炸物品安全生产许可证》的情况下组织生产，民爆销售企业是否取得《民用爆炸物品销售许可证》；</w:t>
      </w:r>
    </w:p>
    <w:p>
      <w:pPr>
        <w:ind w:firstLine="640"/>
        <w:rPr>
          <w:rFonts w:ascii="仿宋" w:hAnsi="仿宋" w:eastAsia="仿宋" w:cs="仿宋"/>
          <w:sz w:val="32"/>
        </w:rPr>
      </w:pPr>
      <w:r>
        <w:rPr>
          <w:rFonts w:ascii="仿宋" w:hAnsi="仿宋" w:eastAsia="仿宋" w:cs="仿宋"/>
          <w:sz w:val="32"/>
        </w:rPr>
        <w:t>（二）民爆企业的安全现状条件是否与申报许可证材料一致；</w:t>
      </w:r>
    </w:p>
    <w:p>
      <w:pPr>
        <w:ind w:firstLine="640"/>
        <w:rPr>
          <w:rFonts w:ascii="仿宋" w:hAnsi="仿宋" w:eastAsia="仿宋" w:cs="仿宋"/>
          <w:sz w:val="32"/>
        </w:rPr>
      </w:pPr>
      <w:r>
        <w:rPr>
          <w:rFonts w:ascii="仿宋" w:hAnsi="仿宋" w:eastAsia="仿宋" w:cs="仿宋"/>
          <w:sz w:val="32"/>
        </w:rPr>
        <w:t>（三）民爆企业是否按照《民用爆炸物品安全管理条例》等相关法律法规要求开展生产经营行为；</w:t>
      </w:r>
    </w:p>
    <w:p>
      <w:pPr>
        <w:ind w:firstLine="640"/>
        <w:rPr>
          <w:rFonts w:ascii="仿宋" w:hAnsi="仿宋" w:eastAsia="仿宋" w:cs="仿宋"/>
          <w:sz w:val="32"/>
        </w:rPr>
      </w:pPr>
      <w:r>
        <w:rPr>
          <w:rFonts w:ascii="仿宋" w:hAnsi="仿宋" w:eastAsia="仿宋" w:cs="仿宋"/>
          <w:sz w:val="32"/>
        </w:rPr>
        <w:t>（四）民爆企业的安全管理是否符合《民用爆炸物品生产、销售企业安全管理规程》的要求。</w:t>
      </w:r>
    </w:p>
    <w:p>
      <w:pPr>
        <w:ind w:firstLine="640"/>
        <w:rPr>
          <w:rFonts w:ascii="仿宋" w:hAnsi="仿宋" w:eastAsia="仿宋" w:cs="仿宋"/>
          <w:sz w:val="32"/>
        </w:rPr>
      </w:pPr>
      <w:r>
        <w:rPr>
          <w:rFonts w:hint="eastAsia" w:ascii="仿宋" w:hAnsi="仿宋" w:eastAsia="仿宋" w:cs="仿宋"/>
          <w:sz w:val="32"/>
        </w:rPr>
        <w:t>（五）配合国家民爆行业主管部门组织民爆产品质量检查。</w:t>
      </w:r>
    </w:p>
    <w:p>
      <w:pPr>
        <w:ind w:firstLine="640"/>
        <w:rPr>
          <w:rFonts w:ascii="华文仿宋" w:hAnsi="华文仿宋" w:eastAsia="华文仿宋" w:cs="华文仿宋"/>
          <w:sz w:val="32"/>
        </w:rPr>
      </w:pPr>
    </w:p>
    <w:p>
      <w:pPr>
        <w:jc w:val="center"/>
        <w:rPr>
          <w:rFonts w:ascii="黑体" w:hAnsi="黑体" w:eastAsia="黑体" w:cs="黑体"/>
          <w:sz w:val="32"/>
        </w:rPr>
      </w:pPr>
      <w:r>
        <w:rPr>
          <w:rFonts w:ascii="黑体" w:hAnsi="黑体" w:eastAsia="黑体" w:cs="黑体"/>
          <w:sz w:val="32"/>
        </w:rPr>
        <w:t>附  则</w:t>
      </w:r>
    </w:p>
    <w:p>
      <w:pPr>
        <w:ind w:firstLine="643"/>
        <w:rPr>
          <w:rFonts w:ascii="仿宋" w:hAnsi="仿宋" w:eastAsia="仿宋" w:cs="仿宋"/>
          <w:sz w:val="32"/>
        </w:rPr>
      </w:pPr>
      <w:r>
        <w:rPr>
          <w:rFonts w:ascii="仿宋" w:hAnsi="仿宋" w:eastAsia="仿宋" w:cs="仿宋"/>
          <w:b/>
          <w:sz w:val="32"/>
        </w:rPr>
        <w:t>第</w:t>
      </w:r>
      <w:r>
        <w:rPr>
          <w:rFonts w:hint="eastAsia" w:ascii="仿宋" w:hAnsi="仿宋" w:eastAsia="仿宋" w:cs="仿宋"/>
          <w:b/>
          <w:sz w:val="32"/>
          <w:lang w:val="en-US" w:eastAsia="zh-CN"/>
        </w:rPr>
        <w:t>四</w:t>
      </w:r>
      <w:r>
        <w:rPr>
          <w:rFonts w:ascii="仿宋" w:hAnsi="仿宋" w:eastAsia="仿宋" w:cs="仿宋"/>
          <w:b/>
          <w:sz w:val="32"/>
        </w:rPr>
        <w:t>条</w:t>
      </w:r>
      <w:r>
        <w:rPr>
          <w:rFonts w:hint="eastAsia" w:ascii="仿宋" w:hAnsi="仿宋" w:eastAsia="仿宋" w:cs="仿宋"/>
          <w:sz w:val="32"/>
          <w:lang w:val="en-US" w:eastAsia="zh-CN"/>
        </w:rPr>
        <w:t xml:space="preserve"> </w:t>
      </w:r>
      <w:r>
        <w:rPr>
          <w:rFonts w:ascii="仿宋" w:hAnsi="仿宋" w:eastAsia="仿宋" w:cs="仿宋"/>
          <w:sz w:val="32"/>
        </w:rPr>
        <w:t>行政检查文书样式和制作使用要求另行规定。</w:t>
      </w:r>
    </w:p>
    <w:p>
      <w:pPr>
        <w:ind w:firstLine="646" w:firstLineChars="200"/>
        <w:rPr>
          <w:rFonts w:hint="eastAsia" w:ascii="仿宋" w:hAnsi="仿宋" w:eastAsia="仿宋"/>
          <w:sz w:val="32"/>
          <w:szCs w:val="32"/>
        </w:rPr>
      </w:pPr>
      <w:r>
        <w:rPr>
          <w:rFonts w:ascii="仿宋" w:hAnsi="仿宋" w:eastAsia="仿宋" w:cs="仿宋"/>
          <w:b/>
          <w:sz w:val="32"/>
        </w:rPr>
        <w:t>第</w:t>
      </w:r>
      <w:r>
        <w:rPr>
          <w:rFonts w:hint="eastAsia" w:ascii="仿宋" w:hAnsi="仿宋" w:eastAsia="仿宋" w:cs="仿宋"/>
          <w:b/>
          <w:sz w:val="32"/>
          <w:lang w:val="en-US" w:eastAsia="zh-CN"/>
        </w:rPr>
        <w:t>五</w:t>
      </w:r>
      <w:r>
        <w:rPr>
          <w:rFonts w:ascii="仿宋" w:hAnsi="仿宋" w:eastAsia="仿宋" w:cs="仿宋"/>
          <w:b/>
          <w:sz w:val="32"/>
        </w:rPr>
        <w:t>条</w:t>
      </w:r>
      <w:r>
        <w:rPr>
          <w:rFonts w:hint="eastAsia" w:ascii="仿宋" w:hAnsi="仿宋" w:eastAsia="仿宋" w:cs="仿宋"/>
          <w:b/>
          <w:sz w:val="32"/>
          <w:lang w:val="en-US" w:eastAsia="zh-CN"/>
        </w:rPr>
        <w:t xml:space="preserve"> </w:t>
      </w:r>
      <w:r>
        <w:rPr>
          <w:rFonts w:ascii="仿宋" w:hAnsi="仿宋" w:eastAsia="仿宋" w:cs="仿宋"/>
          <w:sz w:val="32"/>
        </w:rPr>
        <w:t>本制度由大连市</w:t>
      </w:r>
      <w:r>
        <w:rPr>
          <w:rFonts w:hint="eastAsia" w:ascii="仿宋" w:hAnsi="仿宋" w:eastAsia="仿宋" w:cs="仿宋"/>
          <w:sz w:val="32"/>
        </w:rPr>
        <w:t>工业和信息化局</w:t>
      </w:r>
      <w:r>
        <w:rPr>
          <w:rFonts w:ascii="仿宋" w:hAnsi="仿宋" w:eastAsia="仿宋" w:cs="仿宋"/>
          <w:sz w:val="32"/>
        </w:rPr>
        <w:t>负责解释</w:t>
      </w:r>
      <w:r>
        <w:rPr>
          <w:rFonts w:hint="eastAsia" w:ascii="仿宋" w:hAnsi="仿宋" w:eastAsia="仿宋" w:cs="仿宋"/>
          <w:sz w:val="32"/>
          <w:lang w:val="en-US" w:eastAsia="zh-CN"/>
        </w:rPr>
        <w:t>,</w:t>
      </w:r>
      <w:r>
        <w:rPr>
          <w:rFonts w:hint="eastAsia" w:ascii="仿宋_GB2312" w:hAnsi="仿宋_GB2312" w:eastAsia="仿宋_GB2312" w:cs="仿宋_GB2312"/>
          <w:i w:val="0"/>
          <w:caps w:val="0"/>
          <w:color w:val="000000"/>
          <w:spacing w:val="0"/>
          <w:sz w:val="32"/>
          <w:szCs w:val="32"/>
        </w:rPr>
        <w:t>本</w:t>
      </w:r>
      <w:r>
        <w:rPr>
          <w:rFonts w:hint="eastAsia" w:ascii="仿宋_GB2312" w:hAnsi="仿宋_GB2312" w:eastAsia="仿宋_GB2312" w:cs="仿宋_GB2312"/>
          <w:i w:val="0"/>
          <w:caps w:val="0"/>
          <w:color w:val="000000"/>
          <w:spacing w:val="0"/>
          <w:sz w:val="32"/>
          <w:szCs w:val="32"/>
          <w:lang w:eastAsia="zh-CN"/>
        </w:rPr>
        <w:t>制度</w:t>
      </w:r>
      <w:r>
        <w:rPr>
          <w:rFonts w:hint="eastAsia" w:ascii="仿宋_GB2312" w:hAnsi="仿宋_GB2312" w:eastAsia="仿宋_GB2312" w:cs="仿宋_GB2312"/>
          <w:i w:val="0"/>
          <w:caps w:val="0"/>
          <w:color w:val="000000"/>
          <w:spacing w:val="0"/>
          <w:sz w:val="32"/>
          <w:szCs w:val="32"/>
        </w:rPr>
        <w:t>自发布之日起</w:t>
      </w:r>
      <w:r>
        <w:rPr>
          <w:rFonts w:hint="eastAsia" w:ascii="仿宋" w:hAnsi="仿宋" w:eastAsia="仿宋"/>
          <w:sz w:val="32"/>
          <w:szCs w:val="32"/>
        </w:rPr>
        <w:t>实</w:t>
      </w:r>
      <w:r>
        <w:rPr>
          <w:rFonts w:hint="eastAsia" w:ascii="仿宋" w:hAnsi="仿宋" w:eastAsia="仿宋"/>
          <w:sz w:val="32"/>
          <w:szCs w:val="32"/>
          <w:lang w:val="en-US" w:eastAsia="zh-CN"/>
        </w:rPr>
        <w:t>行</w:t>
      </w:r>
      <w:r>
        <w:rPr>
          <w:rFonts w:hint="eastAsia" w:ascii="仿宋" w:hAnsi="仿宋" w:eastAsia="仿宋"/>
          <w:sz w:val="32"/>
          <w:szCs w:val="32"/>
        </w:rPr>
        <w:t>。</w:t>
      </w: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ind w:firstLine="646" w:firstLineChars="200"/>
        <w:rPr>
          <w:rFonts w:hint="eastAsia" w:ascii="仿宋" w:hAnsi="仿宋" w:eastAsia="仿宋"/>
          <w:sz w:val="32"/>
          <w:szCs w:val="32"/>
        </w:rPr>
      </w:pPr>
    </w:p>
    <w:p>
      <w:pPr>
        <w:spacing w:line="500" w:lineRule="exact"/>
        <w:ind w:firstLine="283" w:firstLineChars="100"/>
        <w:rPr>
          <w:rFonts w:ascii="仿宋" w:hAnsi="仿宋" w:eastAsia="仿宋"/>
          <w:sz w:val="28"/>
          <w:szCs w:val="28"/>
        </w:rPr>
      </w:pPr>
      <w:bookmarkStart w:id="0" w:name="_GoBack"/>
      <w:bookmarkEnd w:id="0"/>
    </w:p>
    <w:sectPr>
      <w:footerReference r:id="rId3" w:type="default"/>
      <w:pgSz w:w="11906" w:h="16838"/>
      <w:pgMar w:top="1440" w:right="1689" w:bottom="1440" w:left="1689" w:header="851" w:footer="992" w:gutter="0"/>
      <w:pgNumType w:fmt="numberInDash"/>
      <w:cols w:space="0" w:num="1"/>
      <w:docGrid w:type="linesAndChars" w:linePitch="315" w:charSpace="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黑体"/>
    <w:panose1 w:val="00000000000000000000"/>
    <w:charset w:val="86"/>
    <w:family w:val="auto"/>
    <w:pitch w:val="default"/>
    <w:sig w:usb0="00000000" w:usb1="00000000" w:usb2="0000001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瀹嬩綋">
    <w:altName w:val="微软雅黑"/>
    <w:panose1 w:val="00000000000000000000"/>
    <w:charset w:val="01"/>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_x0000_s2049" o:spid="_x0000_s2049" o:spt="1" style="position:absolute;left:0pt;margin-top:0pt;height:144pt;width:144pt;mso-position-horizontal:center;mso-position-horizontal-relative:margin;mso-wrap-style:none;z-index:251659264;mso-width-relative:page;mso-height-relative:page;" filled="f" o:preferrelative="t" stroked="f" coordsize="21600,21600">
          <v:path/>
          <v:fill on="f" focussize="0,0"/>
          <v:stroke on="f"/>
          <v:imagedata o:title=""/>
          <o:lock v:ext="edit"/>
          <v:textbox inset="0mm,0mm,0mm,0mm" style="mso-fit-shape-to-text:t;">
            <w:txbxContent>
              <w:p>
                <w:pPr>
                  <w:pStyle w:val="5"/>
                </w:pPr>
                <w:r>
                  <w:fldChar w:fldCharType="begin"/>
                </w:r>
                <w:r>
                  <w:instrText xml:space="preserve"> PAGE  \* MERGEFORMAT </w:instrText>
                </w:r>
                <w:r>
                  <w:fldChar w:fldCharType="separate"/>
                </w:r>
                <w:r>
                  <w:t>95</w:t>
                </w:r>
                <w: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attachedTemplate r:id="rId1"/>
  <w:documentProtection w:enforcement="0"/>
  <w:defaultTabStop w:val="420"/>
  <w:drawingGridHorizontalSpacing w:val="107"/>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JmMmFhNjc0NTJiN2JlNmJjNzQxOTdiOWIyNDU1M2QifQ=="/>
  </w:docVars>
  <w:rsids>
    <w:rsidRoot w:val="0F216278"/>
    <w:rsid w:val="00037B9E"/>
    <w:rsid w:val="000E0A0D"/>
    <w:rsid w:val="000E6711"/>
    <w:rsid w:val="0010482E"/>
    <w:rsid w:val="00167156"/>
    <w:rsid w:val="00170F65"/>
    <w:rsid w:val="00185C8C"/>
    <w:rsid w:val="001861AC"/>
    <w:rsid w:val="00190761"/>
    <w:rsid w:val="001A3D6A"/>
    <w:rsid w:val="001E5DAD"/>
    <w:rsid w:val="001F3723"/>
    <w:rsid w:val="00220FF7"/>
    <w:rsid w:val="00221E66"/>
    <w:rsid w:val="00235A49"/>
    <w:rsid w:val="00246C37"/>
    <w:rsid w:val="002525EA"/>
    <w:rsid w:val="00255760"/>
    <w:rsid w:val="002C79F4"/>
    <w:rsid w:val="002F6F18"/>
    <w:rsid w:val="00333AD6"/>
    <w:rsid w:val="00341499"/>
    <w:rsid w:val="003467D6"/>
    <w:rsid w:val="003627D1"/>
    <w:rsid w:val="00390951"/>
    <w:rsid w:val="003B3122"/>
    <w:rsid w:val="003C0DB9"/>
    <w:rsid w:val="00472F1B"/>
    <w:rsid w:val="00481412"/>
    <w:rsid w:val="00487DD1"/>
    <w:rsid w:val="0049602A"/>
    <w:rsid w:val="004D3191"/>
    <w:rsid w:val="004F52E6"/>
    <w:rsid w:val="005319EA"/>
    <w:rsid w:val="0053579C"/>
    <w:rsid w:val="005724A6"/>
    <w:rsid w:val="00573920"/>
    <w:rsid w:val="005C5D5E"/>
    <w:rsid w:val="005E5C45"/>
    <w:rsid w:val="005F3A56"/>
    <w:rsid w:val="006200FA"/>
    <w:rsid w:val="006244D9"/>
    <w:rsid w:val="006452B7"/>
    <w:rsid w:val="006C26F9"/>
    <w:rsid w:val="006C36A4"/>
    <w:rsid w:val="006F7C5B"/>
    <w:rsid w:val="0070680C"/>
    <w:rsid w:val="00792792"/>
    <w:rsid w:val="007940A5"/>
    <w:rsid w:val="007C231A"/>
    <w:rsid w:val="007C70E7"/>
    <w:rsid w:val="007F4B34"/>
    <w:rsid w:val="00834C4A"/>
    <w:rsid w:val="00854809"/>
    <w:rsid w:val="00887E5D"/>
    <w:rsid w:val="008C69A1"/>
    <w:rsid w:val="008E4FAA"/>
    <w:rsid w:val="008E53CE"/>
    <w:rsid w:val="008F6C48"/>
    <w:rsid w:val="009348E3"/>
    <w:rsid w:val="00956227"/>
    <w:rsid w:val="0096481C"/>
    <w:rsid w:val="00990485"/>
    <w:rsid w:val="009E1D27"/>
    <w:rsid w:val="00A00226"/>
    <w:rsid w:val="00A2019C"/>
    <w:rsid w:val="00A55633"/>
    <w:rsid w:val="00A5583C"/>
    <w:rsid w:val="00A609C9"/>
    <w:rsid w:val="00A70476"/>
    <w:rsid w:val="00A87AB0"/>
    <w:rsid w:val="00AA5578"/>
    <w:rsid w:val="00AA58F9"/>
    <w:rsid w:val="00AD3E2A"/>
    <w:rsid w:val="00AD52E8"/>
    <w:rsid w:val="00B00B85"/>
    <w:rsid w:val="00B5246E"/>
    <w:rsid w:val="00B5787F"/>
    <w:rsid w:val="00B61FE2"/>
    <w:rsid w:val="00B661F1"/>
    <w:rsid w:val="00B9395B"/>
    <w:rsid w:val="00BA06B7"/>
    <w:rsid w:val="00BA61CE"/>
    <w:rsid w:val="00C02CF6"/>
    <w:rsid w:val="00C04061"/>
    <w:rsid w:val="00C12014"/>
    <w:rsid w:val="00C3121D"/>
    <w:rsid w:val="00C44778"/>
    <w:rsid w:val="00C61999"/>
    <w:rsid w:val="00C90BAF"/>
    <w:rsid w:val="00CA6B44"/>
    <w:rsid w:val="00CE23D1"/>
    <w:rsid w:val="00CE502F"/>
    <w:rsid w:val="00CF7FC1"/>
    <w:rsid w:val="00D13916"/>
    <w:rsid w:val="00D14011"/>
    <w:rsid w:val="00D209F0"/>
    <w:rsid w:val="00D3642D"/>
    <w:rsid w:val="00D54F14"/>
    <w:rsid w:val="00D85D4F"/>
    <w:rsid w:val="00D90892"/>
    <w:rsid w:val="00DB49CA"/>
    <w:rsid w:val="00DE177D"/>
    <w:rsid w:val="00DE7847"/>
    <w:rsid w:val="00E10E57"/>
    <w:rsid w:val="00E11492"/>
    <w:rsid w:val="00E37C92"/>
    <w:rsid w:val="00E66A72"/>
    <w:rsid w:val="00EA5718"/>
    <w:rsid w:val="00EF767F"/>
    <w:rsid w:val="00EF7755"/>
    <w:rsid w:val="00FB1FDD"/>
    <w:rsid w:val="00FC4D3D"/>
    <w:rsid w:val="00FE17A8"/>
    <w:rsid w:val="00FE7393"/>
    <w:rsid w:val="00FE79C7"/>
    <w:rsid w:val="03795797"/>
    <w:rsid w:val="03903C16"/>
    <w:rsid w:val="04142E35"/>
    <w:rsid w:val="05FC6EE2"/>
    <w:rsid w:val="06854AA8"/>
    <w:rsid w:val="09937B0A"/>
    <w:rsid w:val="0A271DB8"/>
    <w:rsid w:val="0AC604CB"/>
    <w:rsid w:val="0B874681"/>
    <w:rsid w:val="0C2812AB"/>
    <w:rsid w:val="0C8F74DD"/>
    <w:rsid w:val="0F216278"/>
    <w:rsid w:val="13981CE0"/>
    <w:rsid w:val="15D25B2C"/>
    <w:rsid w:val="16A54618"/>
    <w:rsid w:val="19EB4DBC"/>
    <w:rsid w:val="1C492912"/>
    <w:rsid w:val="1D264623"/>
    <w:rsid w:val="1ED047B4"/>
    <w:rsid w:val="1FFF0E8C"/>
    <w:rsid w:val="21B840A1"/>
    <w:rsid w:val="22BF70F9"/>
    <w:rsid w:val="239F4B26"/>
    <w:rsid w:val="241A26A8"/>
    <w:rsid w:val="28BE14DC"/>
    <w:rsid w:val="29472EC8"/>
    <w:rsid w:val="29916CB8"/>
    <w:rsid w:val="29A40260"/>
    <w:rsid w:val="2A221D4C"/>
    <w:rsid w:val="2BF614AC"/>
    <w:rsid w:val="2D8B1770"/>
    <w:rsid w:val="2ED01071"/>
    <w:rsid w:val="2FFA0788"/>
    <w:rsid w:val="305B04C5"/>
    <w:rsid w:val="30C36A33"/>
    <w:rsid w:val="33060651"/>
    <w:rsid w:val="3C0A1271"/>
    <w:rsid w:val="3DBE17D2"/>
    <w:rsid w:val="45D24B48"/>
    <w:rsid w:val="462317B3"/>
    <w:rsid w:val="48CB1FA9"/>
    <w:rsid w:val="50F05237"/>
    <w:rsid w:val="517F3932"/>
    <w:rsid w:val="53A7276C"/>
    <w:rsid w:val="562D704F"/>
    <w:rsid w:val="59152401"/>
    <w:rsid w:val="59A11474"/>
    <w:rsid w:val="60802E5D"/>
    <w:rsid w:val="63952E72"/>
    <w:rsid w:val="66222665"/>
    <w:rsid w:val="664D1B89"/>
    <w:rsid w:val="6754044F"/>
    <w:rsid w:val="67FB2E80"/>
    <w:rsid w:val="69A209F0"/>
    <w:rsid w:val="6A6D77FD"/>
    <w:rsid w:val="6B0770A1"/>
    <w:rsid w:val="6BE30A9C"/>
    <w:rsid w:val="6D2352FB"/>
    <w:rsid w:val="6D535020"/>
    <w:rsid w:val="6D5C3A9F"/>
    <w:rsid w:val="70213C47"/>
    <w:rsid w:val="70544140"/>
    <w:rsid w:val="72185907"/>
    <w:rsid w:val="797D4961"/>
    <w:rsid w:val="7DBE51C3"/>
    <w:rsid w:val="7E185201"/>
    <w:rsid w:val="7EA805F7"/>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6"/>
    </w:rPr>
  </w:style>
  <w:style w:type="paragraph" w:styleId="3">
    <w:name w:val="Date"/>
    <w:basedOn w:val="1"/>
    <w:next w:val="1"/>
    <w:link w:val="44"/>
    <w:qFormat/>
    <w:uiPriority w:val="0"/>
    <w:pPr>
      <w:ind w:left="100" w:leftChars="2500"/>
    </w:pPr>
  </w:style>
  <w:style w:type="paragraph" w:styleId="4">
    <w:name w:val="Balloon Text"/>
    <w:basedOn w:val="1"/>
    <w:link w:val="4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page number"/>
    <w:basedOn w:val="9"/>
    <w:qFormat/>
    <w:uiPriority w:val="0"/>
    <w:rPr>
      <w:rFonts w:ascii="Times New Roman" w:hAnsi="Times New Roman" w:eastAsia="宋体"/>
      <w:sz w:val="18"/>
    </w:rPr>
  </w:style>
  <w:style w:type="paragraph" w:customStyle="1" w:styleId="11">
    <w:name w:val="封面标准名称"/>
    <w:qFormat/>
    <w:uiPriority w:val="0"/>
    <w:pPr>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12">
    <w:name w:val="章标题"/>
    <w:next w:val="13"/>
    <w:qFormat/>
    <w:uiPriority w:val="0"/>
    <w:pPr>
      <w:spacing w:beforeLines="100" w:afterLines="100"/>
      <w:jc w:val="both"/>
      <w:outlineLvl w:val="1"/>
    </w:pPr>
    <w:rPr>
      <w:rFonts w:ascii="黑体" w:hAnsi="Calibri" w:eastAsia="黑体" w:cs="Times New Roman"/>
      <w:sz w:val="21"/>
      <w:lang w:val="en-US" w:eastAsia="zh-CN" w:bidi="ar-SA"/>
    </w:r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14">
    <w:name w:val="一级无"/>
    <w:basedOn w:val="15"/>
    <w:qFormat/>
    <w:uiPriority w:val="0"/>
    <w:pPr>
      <w:spacing w:beforeLines="0" w:afterLines="0"/>
    </w:pPr>
    <w:rPr>
      <w:rFonts w:ascii="宋体" w:eastAsia="宋体"/>
    </w:rPr>
  </w:style>
  <w:style w:type="paragraph" w:customStyle="1" w:styleId="15">
    <w:name w:val="一级条标题"/>
    <w:next w:val="13"/>
    <w:qFormat/>
    <w:uiPriority w:val="0"/>
    <w:pPr>
      <w:spacing w:beforeLines="50" w:afterLines="50"/>
      <w:outlineLvl w:val="2"/>
    </w:pPr>
    <w:rPr>
      <w:rFonts w:ascii="黑体" w:hAnsi="Calibri" w:eastAsia="黑体" w:cs="Times New Roman"/>
      <w:sz w:val="21"/>
      <w:szCs w:val="21"/>
      <w:lang w:val="en-US" w:eastAsia="zh-CN" w:bidi="ar-SA"/>
    </w:rPr>
  </w:style>
  <w:style w:type="paragraph" w:customStyle="1" w:styleId="16">
    <w:name w:val="普通(网站)1"/>
    <w:basedOn w:val="1"/>
    <w:qFormat/>
    <w:uiPriority w:val="0"/>
    <w:pPr>
      <w:widowControl/>
      <w:spacing w:beforeAutospacing="1" w:afterAutospacing="1"/>
      <w:jc w:val="left"/>
    </w:pPr>
    <w:rPr>
      <w:rFonts w:ascii="宋体" w:hAnsi="宋体" w:cs="宋体"/>
      <w:kern w:val="0"/>
      <w:sz w:val="24"/>
    </w:rPr>
  </w:style>
  <w:style w:type="paragraph" w:customStyle="1" w:styleId="17">
    <w:name w:val="p1"/>
    <w:basedOn w:val="1"/>
    <w:qFormat/>
    <w:uiPriority w:val="0"/>
    <w:pPr>
      <w:widowControl/>
      <w:spacing w:before="100" w:beforeAutospacing="1" w:after="100" w:afterAutospacing="1"/>
      <w:jc w:val="left"/>
    </w:pPr>
    <w:rPr>
      <w:rFonts w:ascii="宋体" w:hAnsi="宋体" w:cs="宋体"/>
      <w:kern w:val="0"/>
      <w:sz w:val="24"/>
    </w:rPr>
  </w:style>
  <w:style w:type="paragraph" w:customStyle="1" w:styleId="18">
    <w:name w:val="p3"/>
    <w:basedOn w:val="1"/>
    <w:qFormat/>
    <w:uiPriority w:val="0"/>
    <w:pPr>
      <w:widowControl/>
      <w:spacing w:before="100" w:beforeAutospacing="1" w:after="100" w:afterAutospacing="1"/>
      <w:jc w:val="left"/>
    </w:pPr>
    <w:rPr>
      <w:rFonts w:ascii="宋体" w:hAnsi="宋体" w:cs="宋体"/>
      <w:kern w:val="0"/>
      <w:sz w:val="24"/>
    </w:rPr>
  </w:style>
  <w:style w:type="paragraph" w:customStyle="1" w:styleId="19">
    <w:name w:val="p4"/>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p5"/>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p6"/>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p7"/>
    <w:basedOn w:val="1"/>
    <w:qFormat/>
    <w:uiPriority w:val="0"/>
    <w:pPr>
      <w:widowControl/>
      <w:spacing w:before="100" w:beforeAutospacing="1" w:after="100" w:afterAutospacing="1"/>
      <w:jc w:val="left"/>
    </w:pPr>
    <w:rPr>
      <w:rFonts w:ascii="宋体" w:hAnsi="宋体" w:cs="宋体"/>
      <w:kern w:val="0"/>
      <w:sz w:val="24"/>
    </w:rPr>
  </w:style>
  <w:style w:type="paragraph" w:customStyle="1" w:styleId="23">
    <w:name w:val="p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p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7">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p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p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p19"/>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p23"/>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p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p25"/>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附录标识"/>
    <w:basedOn w:val="1"/>
    <w:next w:val="13"/>
    <w:qFormat/>
    <w:uiPriority w:val="0"/>
    <w:pPr>
      <w:keepNext/>
      <w:widowControl/>
      <w:shd w:val="clear" w:color="FFFFFF" w:fill="FFFFFF"/>
      <w:tabs>
        <w:tab w:val="left" w:pos="360"/>
        <w:tab w:val="left" w:pos="6405"/>
      </w:tabs>
      <w:spacing w:before="640" w:after="280"/>
      <w:ind w:left="4962"/>
      <w:jc w:val="center"/>
      <w:outlineLvl w:val="0"/>
    </w:pPr>
    <w:rPr>
      <w:rFonts w:ascii="黑体" w:eastAsia="黑体"/>
      <w:kern w:val="0"/>
      <w:szCs w:val="20"/>
    </w:rPr>
  </w:style>
  <w:style w:type="paragraph" w:customStyle="1" w:styleId="36">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37">
    <w:name w:val="附录表标号"/>
    <w:basedOn w:val="1"/>
    <w:next w:val="13"/>
    <w:qFormat/>
    <w:uiPriority w:val="0"/>
    <w:pPr>
      <w:spacing w:line="14" w:lineRule="exact"/>
      <w:ind w:left="811" w:hanging="448"/>
      <w:jc w:val="center"/>
      <w:outlineLvl w:val="0"/>
    </w:pPr>
    <w:rPr>
      <w:color w:val="FFFFFF"/>
    </w:rPr>
  </w:style>
  <w:style w:type="character" w:customStyle="1" w:styleId="38">
    <w:name w:val="ft5"/>
    <w:basedOn w:val="9"/>
    <w:qFormat/>
    <w:uiPriority w:val="0"/>
  </w:style>
  <w:style w:type="character" w:customStyle="1" w:styleId="39">
    <w:name w:val="ft3"/>
    <w:basedOn w:val="9"/>
    <w:qFormat/>
    <w:uiPriority w:val="0"/>
  </w:style>
  <w:style w:type="character" w:customStyle="1" w:styleId="40">
    <w:name w:val="ft8"/>
    <w:basedOn w:val="9"/>
    <w:qFormat/>
    <w:uiPriority w:val="0"/>
  </w:style>
  <w:style w:type="character" w:customStyle="1" w:styleId="41">
    <w:name w:val="ft11"/>
    <w:basedOn w:val="9"/>
    <w:qFormat/>
    <w:uiPriority w:val="0"/>
  </w:style>
  <w:style w:type="character" w:customStyle="1" w:styleId="42">
    <w:name w:val="页眉 Char"/>
    <w:basedOn w:val="9"/>
    <w:link w:val="6"/>
    <w:qFormat/>
    <w:uiPriority w:val="0"/>
    <w:rPr>
      <w:kern w:val="2"/>
      <w:sz w:val="18"/>
      <w:szCs w:val="18"/>
    </w:rPr>
  </w:style>
  <w:style w:type="character" w:customStyle="1" w:styleId="43">
    <w:name w:val="批注框文本 Char"/>
    <w:basedOn w:val="9"/>
    <w:link w:val="4"/>
    <w:qFormat/>
    <w:uiPriority w:val="0"/>
    <w:rPr>
      <w:kern w:val="2"/>
      <w:sz w:val="18"/>
      <w:szCs w:val="18"/>
    </w:rPr>
  </w:style>
  <w:style w:type="character" w:customStyle="1" w:styleId="44">
    <w:name w:val="日期 Char"/>
    <w:basedOn w:val="9"/>
    <w:link w:val="3"/>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111</Pages>
  <Words>28499</Words>
  <Characters>29367</Characters>
  <Lines>231</Lines>
  <Paragraphs>65</Paragraphs>
  <TotalTime>244</TotalTime>
  <ScaleCrop>false</ScaleCrop>
  <LinksUpToDate>false</LinksUpToDate>
  <CharactersWithSpaces>31323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2018-07-25T06:01:00Z</dcterms:created>
  <dc:creator>Administrator</dc:creator>
  <cp:lastModifiedBy>梦游黑猫</cp:lastModifiedBy>
  <cp:lastPrinted>2019-08-30T05:28:00Z</cp:lastPrinted>
  <dcterms:modified xsi:type="dcterms:W3CDTF">2022-05-23T06:02:08Z</dcterms:modified>
  <dc:title>大连市经济和信息化行政许可</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13DD2A45BCC644E9B876AD1D366BDBAA</vt:lpwstr>
  </property>
</Properties>
</file>