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/>
        <w:ind w:firstLine="94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pacing w:val="-12"/>
          <w:sz w:val="28"/>
          <w:szCs w:val="28"/>
        </w:rPr>
        <w:t>附件1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"/>
          <w:sz w:val="44"/>
          <w:szCs w:val="44"/>
        </w:rPr>
        <w:t>辽宁省省级工业遗产评价指标</w:t>
      </w:r>
    </w:p>
    <w:p>
      <w:r>
        <w:t xml:space="preserve"> </w:t>
      </w:r>
    </w:p>
    <w:p>
      <w:pPr>
        <w:spacing w:line="65" w:lineRule="exact"/>
      </w:pPr>
      <w:r>
        <w:t xml:space="preserve"> </w:t>
      </w:r>
    </w:p>
    <w:tbl>
      <w:tblPr>
        <w:tblStyle w:val="8"/>
        <w:tblW w:w="843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19"/>
        <w:gridCol w:w="5263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1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0" w:line="510" w:lineRule="exact"/>
              <w:ind w:firstLine="124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6"/>
                <w:position w:val="22"/>
                <w:sz w:val="22"/>
                <w:szCs w:val="22"/>
              </w:rPr>
              <w:t>一级</w:t>
            </w:r>
          </w:p>
          <w:p>
            <w:pPr>
              <w:ind w:firstLine="124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0" w:line="520" w:lineRule="exact"/>
              <w:ind w:firstLine="1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6"/>
                <w:position w:val="23"/>
                <w:sz w:val="22"/>
                <w:szCs w:val="22"/>
              </w:rPr>
              <w:t>二级</w:t>
            </w:r>
          </w:p>
          <w:p>
            <w:pPr>
              <w:ind w:firstLine="1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16" w:lineRule="auto"/>
              <w:rPr>
                <w:b/>
                <w:sz w:val="21"/>
              </w:rPr>
            </w:pPr>
          </w:p>
          <w:p>
            <w:pPr>
              <w:spacing w:before="71"/>
              <w:ind w:firstLine="2201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2"/>
                <w:sz w:val="22"/>
                <w:szCs w:val="22"/>
              </w:rPr>
              <w:t>指标内容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14" w:lineRule="auto"/>
              <w:rPr>
                <w:b/>
                <w:sz w:val="21"/>
              </w:rPr>
            </w:pPr>
          </w:p>
          <w:p>
            <w:pPr>
              <w:spacing w:before="71"/>
              <w:ind w:firstLine="59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71" w:line="280" w:lineRule="auto"/>
              <w:ind w:left="124" w:right="125"/>
              <w:rPr>
                <w:rFonts w:ascii="宋体" w:hAnsi="宋体"/>
                <w:spacing w:val="-3"/>
                <w:sz w:val="22"/>
                <w:szCs w:val="22"/>
              </w:rPr>
            </w:pPr>
          </w:p>
          <w:p>
            <w:pPr>
              <w:spacing w:before="71" w:line="280" w:lineRule="auto"/>
              <w:ind w:left="124" w:right="125"/>
              <w:rPr>
                <w:rFonts w:ascii="宋体" w:hAnsi="宋体"/>
                <w:spacing w:val="-3"/>
                <w:sz w:val="22"/>
                <w:szCs w:val="22"/>
              </w:rPr>
            </w:pPr>
          </w:p>
          <w:p>
            <w:pPr>
              <w:spacing w:before="71" w:line="280" w:lineRule="auto"/>
              <w:ind w:left="124" w:right="125"/>
              <w:rPr>
                <w:rFonts w:ascii="宋体" w:hAnsi="宋体"/>
                <w:spacing w:val="-3"/>
                <w:sz w:val="22"/>
                <w:szCs w:val="22"/>
              </w:rPr>
            </w:pPr>
          </w:p>
          <w:p>
            <w:pPr>
              <w:spacing w:before="71" w:line="280" w:lineRule="auto"/>
              <w:ind w:left="124" w:right="125"/>
              <w:rPr>
                <w:rFonts w:ascii="宋体" w:hAnsi="宋体"/>
                <w:spacing w:val="-3"/>
                <w:sz w:val="22"/>
                <w:szCs w:val="22"/>
              </w:rPr>
            </w:pPr>
          </w:p>
          <w:p>
            <w:pPr>
              <w:spacing w:before="71" w:line="280" w:lineRule="auto"/>
              <w:ind w:left="124" w:right="125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遗产</w:t>
            </w:r>
            <w:r>
              <w:rPr>
                <w:rFonts w:hint="eastAsia" w:ascii="宋体" w:hAnsi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pacing w:val="-3"/>
                <w:sz w:val="22"/>
                <w:szCs w:val="22"/>
              </w:rPr>
              <w:t>价值</w:t>
            </w: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02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5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见证了本行业在中国或辽宁的发端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3"/>
                <w:sz w:val="22"/>
                <w:szCs w:val="22"/>
              </w:rPr>
              <w:t>历史</w:t>
            </w:r>
            <w:r>
              <w:rPr>
                <w:rFonts w:hint="eastAsia" w:ascii="宋体" w:hAnsi="宋体"/>
                <w:spacing w:val="-3"/>
                <w:sz w:val="22"/>
                <w:szCs w:val="22"/>
              </w:rPr>
              <w:t>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6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对我省工业化进程有显著的推进作用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历史价值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3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6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1"/>
                <w:sz w:val="22"/>
                <w:szCs w:val="22"/>
              </w:rPr>
              <w:t>技术或工艺的创新性、重要性或独特性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"/>
                <w:sz w:val="22"/>
                <w:szCs w:val="22"/>
              </w:rPr>
              <w:t>科技价值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5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1"/>
                <w:sz w:val="22"/>
                <w:szCs w:val="22"/>
              </w:rPr>
              <w:t>对行业发展进程有重要影响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0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"/>
                <w:sz w:val="22"/>
                <w:szCs w:val="22"/>
              </w:rPr>
              <w:t>科技价值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4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5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1"/>
                <w:sz w:val="22"/>
                <w:szCs w:val="22"/>
              </w:rPr>
              <w:t>对社会经济文化生活变迁有重要影响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"/>
                <w:sz w:val="22"/>
                <w:szCs w:val="22"/>
              </w:rPr>
              <w:t>社会价值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82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05" w:line="268" w:lineRule="auto"/>
              <w:ind w:left="121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3"/>
                <w:sz w:val="20"/>
              </w:rPr>
              <w:t>形成了有影响力的工业精神、生产制度</w:t>
            </w:r>
            <w:r>
              <w:rPr>
                <w:rFonts w:hint="eastAsia" w:ascii="宋体" w:hAnsi="宋体"/>
                <w:spacing w:val="11"/>
                <w:sz w:val="20"/>
              </w:rPr>
              <w:t>或企业文化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45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"/>
                <w:sz w:val="22"/>
                <w:szCs w:val="22"/>
              </w:rPr>
              <w:t>社会价值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6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 w:line="256" w:lineRule="auto"/>
              <w:ind w:left="121" w:right="6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反映了工业生产及其相关社区生活的时代</w:t>
            </w:r>
            <w:r>
              <w:rPr>
                <w:rFonts w:hint="eastAsia" w:ascii="宋体" w:hAnsi="宋体"/>
                <w:spacing w:val="-2"/>
                <w:sz w:val="22"/>
                <w:szCs w:val="22"/>
              </w:rPr>
              <w:t>特性和社会风貌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6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"/>
                <w:sz w:val="22"/>
                <w:szCs w:val="22"/>
              </w:rPr>
              <w:t>社会价值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4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08" w:line="390" w:lineRule="exact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1"/>
                <w:position w:val="12"/>
                <w:sz w:val="22"/>
                <w:szCs w:val="22"/>
              </w:rPr>
              <w:t>工业生产或生活设施构成的工业景观有较强的独特性</w:t>
            </w:r>
          </w:p>
          <w:p>
            <w:pPr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或代表性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7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"/>
                <w:sz w:val="22"/>
                <w:szCs w:val="22"/>
              </w:rPr>
              <w:t>艺术价值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4"/>
              <w:ind w:firstLine="34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7" w:line="268" w:lineRule="auto"/>
              <w:ind w:left="121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3"/>
                <w:sz w:val="20"/>
              </w:rPr>
              <w:t>设施设备、建构筑物、产品对某一生产技艺或企业有极</w:t>
            </w:r>
            <w:r>
              <w:rPr>
                <w:rFonts w:hint="eastAsia" w:ascii="宋体" w:hAnsi="宋体"/>
                <w:spacing w:val="11"/>
                <w:sz w:val="20"/>
              </w:rPr>
              <w:t>强的代表性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8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"/>
                <w:sz w:val="22"/>
                <w:szCs w:val="22"/>
              </w:rPr>
              <w:t>艺术价值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5"/>
              <w:ind w:firstLine="29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9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1"/>
                <w:sz w:val="22"/>
                <w:szCs w:val="22"/>
              </w:rPr>
              <w:t>涉及与重要历史事件、人物的紧密联系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9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历史价值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5"/>
              <w:ind w:firstLine="29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99" w:line="264" w:lineRule="auto"/>
              <w:ind w:left="121" w:right="113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"/>
                <w:sz w:val="22"/>
                <w:szCs w:val="22"/>
              </w:rPr>
              <w:t>为洋务运动、民族资本主义工商业、"156项工程"和</w:t>
            </w:r>
            <w:r>
              <w:rPr>
                <w:rFonts w:hint="eastAsia" w:ascii="宋体" w:hAnsi="宋体"/>
                <w:spacing w:val="17"/>
                <w:sz w:val="22"/>
                <w:szCs w:val="22"/>
              </w:rPr>
              <w:t>支援</w:t>
            </w:r>
            <w:r>
              <w:rPr>
                <w:rFonts w:hint="eastAsia" w:ascii="宋体" w:hAnsi="宋体"/>
                <w:spacing w:val="6"/>
                <w:sz w:val="22"/>
                <w:szCs w:val="22"/>
              </w:rPr>
              <w:t>"三线建设"重大项目情况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9"/>
              <w:ind w:firstLine="37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历史价值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14" w:lineRule="auto"/>
              <w:rPr>
                <w:sz w:val="20"/>
              </w:rPr>
            </w:pPr>
          </w:p>
          <w:p>
            <w:pPr>
              <w:spacing w:before="72" w:line="312" w:lineRule="auto"/>
              <w:ind w:left="124" w:right="122"/>
              <w:rPr>
                <w:rFonts w:ascii="宋体" w:hAnsi="宋体"/>
                <w:spacing w:val="-3"/>
                <w:sz w:val="22"/>
                <w:szCs w:val="22"/>
              </w:rPr>
            </w:pPr>
          </w:p>
          <w:p>
            <w:pPr>
              <w:spacing w:before="72" w:line="312" w:lineRule="auto"/>
              <w:ind w:left="124" w:right="122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保护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5"/>
              <w:ind w:firstLine="29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12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89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涉及遗产价值描述的文字材料基本可信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89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5"/>
              <w:ind w:firstLine="29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13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99" w:line="380" w:lineRule="exact"/>
              <w:ind w:firstLine="121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3"/>
                <w:position w:val="12"/>
                <w:sz w:val="20"/>
              </w:rPr>
              <w:t>整体布局和核心物项建设、重建、修复及保存状况有较</w:t>
            </w:r>
          </w:p>
          <w:p>
            <w:pPr>
              <w:ind w:firstLine="121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8"/>
                <w:sz w:val="20"/>
              </w:rPr>
              <w:t>为可信的记录和呈现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9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59" w:lineRule="auto"/>
              <w:rPr>
                <w:sz w:val="21"/>
              </w:rPr>
            </w:pPr>
          </w:p>
          <w:p>
            <w:pPr>
              <w:spacing w:before="72"/>
              <w:ind w:firstLine="29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7"/>
                <w:sz w:val="22"/>
                <w:szCs w:val="22"/>
              </w:rPr>
              <w:t>14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9" w:line="273" w:lineRule="auto"/>
              <w:ind w:left="120" w:hanging="19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9"/>
                <w:sz w:val="20"/>
              </w:rPr>
              <w:t>有较高的完整程度,通过现存核心物项可以完整呈现有</w:t>
            </w:r>
            <w:r>
              <w:rPr>
                <w:rFonts w:hint="eastAsia"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pacing w:val="9"/>
                <w:sz w:val="20"/>
              </w:rPr>
              <w:t>代表性的生产布局、生产工艺或相关的生活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99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完整性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299" w:line="297" w:lineRule="auto"/>
              <w:ind w:left="124" w:right="128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/>
                <w:spacing w:val="3"/>
                <w:sz w:val="22"/>
                <w:szCs w:val="22"/>
              </w:rPr>
              <w:t>管理 水平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6"/>
              <w:ind w:firstLine="290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/>
                <w:spacing w:val="3"/>
                <w:sz w:val="22"/>
                <w:szCs w:val="22"/>
              </w:rPr>
              <w:t>15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80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保护利用规划符合遗产特性、切实可行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80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延续性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pacing w:val="3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06"/>
              <w:ind w:firstLine="290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/>
                <w:spacing w:val="3"/>
                <w:sz w:val="22"/>
                <w:szCs w:val="22"/>
              </w:rPr>
              <w:t>16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0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保护利用管理制度、工作措施等明确有力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0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3"/>
                <w:sz w:val="22"/>
                <w:szCs w:val="22"/>
              </w:rPr>
              <w:t>延续性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1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pacing w:val="3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96"/>
              <w:ind w:firstLine="290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/>
                <w:spacing w:val="3"/>
                <w:sz w:val="22"/>
                <w:szCs w:val="22"/>
              </w:rPr>
              <w:t>17</w:t>
            </w:r>
          </w:p>
        </w:tc>
        <w:tc>
          <w:tcPr>
            <w:tcW w:w="52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9"/>
              <w:ind w:firstLine="121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1"/>
                <w:sz w:val="22"/>
                <w:szCs w:val="22"/>
              </w:rPr>
              <w:t>保护利用己或可预期产生可持续的社会、经济效益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0"/>
              <w:ind w:firstLine="48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"/>
                <w:sz w:val="22"/>
                <w:szCs w:val="22"/>
              </w:rPr>
              <w:t>时代性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5" w:type="dxa"/>
          <w:trHeight w:val="100" w:hRule="atLeast"/>
        </w:trPr>
        <w:tc>
          <w:tcPr>
            <w:tcW w:w="714" w:type="dxa"/>
            <w:tcBorders>
              <w:top w:val="single" w:color="auto" w:sz="4" w:space="0"/>
            </w:tcBorders>
          </w:tcPr>
          <w:p>
            <w:pPr>
              <w:spacing w:before="74" w:line="264" w:lineRule="auto"/>
              <w:ind w:right="2"/>
              <w:rPr>
                <w:rFonts w:ascii="黑体" w:hAnsi="黑体" w:eastAsia="黑体"/>
                <w:spacing w:val="-3"/>
                <w:sz w:val="22"/>
                <w:szCs w:val="22"/>
              </w:rPr>
            </w:pPr>
          </w:p>
        </w:tc>
      </w:tr>
    </w:tbl>
    <w:p>
      <w:pPr>
        <w:spacing w:before="74" w:line="264" w:lineRule="auto"/>
        <w:ind w:left="93" w:right="2" w:hanging="29"/>
        <w:rPr>
          <w:rFonts w:hint="eastAsia" w:ascii="黑体" w:hAnsi="黑体" w:eastAsia="黑体"/>
          <w:spacing w:val="-3"/>
          <w:sz w:val="22"/>
          <w:szCs w:val="22"/>
        </w:rPr>
      </w:pPr>
    </w:p>
    <w:p>
      <w:pPr>
        <w:spacing w:before="74" w:line="264" w:lineRule="auto"/>
        <w:ind w:left="93" w:right="2" w:hanging="29"/>
        <w:rPr>
          <w:rFonts w:hint="eastAsia" w:ascii="黑体" w:hAnsi="黑体" w:eastAsia="黑体"/>
          <w:spacing w:val="-3"/>
          <w:sz w:val="22"/>
          <w:szCs w:val="22"/>
        </w:rPr>
      </w:pPr>
    </w:p>
    <w:p>
      <w:pPr>
        <w:spacing w:before="74" w:line="264" w:lineRule="auto"/>
        <w:ind w:left="93" w:right="2" w:hanging="29"/>
        <w:rPr>
          <w:rFonts w:hint="eastAsia" w:ascii="黑体" w:hAnsi="黑体" w:eastAsia="黑体"/>
          <w:spacing w:val="-3"/>
          <w:sz w:val="22"/>
          <w:szCs w:val="22"/>
        </w:rPr>
      </w:pPr>
    </w:p>
    <w:p>
      <w:pPr>
        <w:spacing w:before="74" w:line="264" w:lineRule="auto"/>
        <w:ind w:left="93" w:right="2" w:hanging="29"/>
        <w:rPr>
          <w:rFonts w:hint="eastAsia" w:ascii="黑体" w:hAnsi="黑体" w:eastAsia="黑体"/>
          <w:spacing w:val="-3"/>
          <w:sz w:val="22"/>
          <w:szCs w:val="22"/>
        </w:rPr>
      </w:pPr>
    </w:p>
    <w:p>
      <w:pPr>
        <w:spacing w:before="74" w:line="264" w:lineRule="auto"/>
        <w:ind w:left="93" w:right="2" w:hanging="29"/>
        <w:rPr>
          <w:rFonts w:hint="eastAsia" w:ascii="黑体" w:hAnsi="黑体" w:eastAsia="黑体"/>
          <w:spacing w:val="-3"/>
          <w:sz w:val="22"/>
          <w:szCs w:val="22"/>
        </w:rPr>
      </w:pPr>
    </w:p>
    <w:p>
      <w:pPr>
        <w:spacing w:before="74" w:line="360" w:lineRule="auto"/>
        <w:ind w:hanging="29"/>
        <w:jc w:val="both"/>
        <w:rPr>
          <w:rFonts w:hint="eastAsia" w:ascii="仿宋" w:hAnsi="仿宋" w:eastAsia="仿宋"/>
          <w:spacing w:val="-3"/>
          <w:sz w:val="32"/>
          <w:szCs w:val="32"/>
        </w:rPr>
      </w:pPr>
    </w:p>
    <w:p>
      <w:pPr>
        <w:spacing w:before="74" w:line="360" w:lineRule="auto"/>
        <w:ind w:hanging="29"/>
        <w:jc w:val="both"/>
        <w:rPr>
          <w:rFonts w:hint="eastAsia" w:ascii="仿宋" w:hAnsi="仿宋" w:eastAsia="仿宋"/>
          <w:spacing w:val="-3"/>
          <w:sz w:val="32"/>
          <w:szCs w:val="32"/>
        </w:rPr>
      </w:pPr>
    </w:p>
    <w:p>
      <w:pPr>
        <w:spacing w:before="74" w:line="360" w:lineRule="auto"/>
        <w:ind w:hanging="29"/>
        <w:jc w:val="both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pacing w:val="-3"/>
          <w:sz w:val="32"/>
          <w:szCs w:val="32"/>
        </w:rPr>
        <w:t>评价指标说明：</w:t>
      </w:r>
    </w:p>
    <w:p>
      <w:pPr>
        <w:spacing w:before="74" w:line="360" w:lineRule="auto"/>
        <w:ind w:firstLine="628" w:firstLineChars="200"/>
        <w:jc w:val="both"/>
        <w:rPr>
          <w:rFonts w:hint="eastAsia" w:ascii="仿宋" w:hAnsi="仿宋" w:eastAsia="仿宋"/>
          <w:spacing w:val="-3"/>
          <w:sz w:val="32"/>
          <w:szCs w:val="32"/>
          <w:u w:val="none"/>
        </w:rPr>
      </w:pPr>
      <w:r>
        <w:rPr>
          <w:rFonts w:hint="eastAsia" w:ascii="仿宋" w:hAnsi="仿宋" w:eastAsia="仿宋"/>
          <w:spacing w:val="-3"/>
          <w:sz w:val="32"/>
          <w:szCs w:val="32"/>
          <w:u w:val="none"/>
        </w:rPr>
        <w:t>一、辽宁省省级工业遗产评价采用定性评价的方式，针对省级工业遗产特性设置了3项一级指标、17项二级</w:t>
      </w:r>
      <w:bookmarkStart w:id="0" w:name="_GoBack"/>
      <w:bookmarkEnd w:id="0"/>
      <w:r>
        <w:rPr>
          <w:rFonts w:hint="eastAsia" w:ascii="仿宋" w:hAnsi="仿宋" w:eastAsia="仿宋"/>
          <w:spacing w:val="-3"/>
          <w:sz w:val="32"/>
          <w:szCs w:val="32"/>
          <w:u w:val="none"/>
        </w:rPr>
        <w:t>指标。</w:t>
      </w:r>
    </w:p>
    <w:p>
      <w:pPr>
        <w:spacing w:before="74" w:line="360" w:lineRule="auto"/>
        <w:ind w:firstLine="628" w:firstLineChars="200"/>
        <w:jc w:val="both"/>
        <w:rPr>
          <w:rFonts w:hint="eastAsia" w:ascii="仿宋" w:hAnsi="仿宋" w:eastAsia="仿宋"/>
          <w:spacing w:val="12"/>
          <w:sz w:val="32"/>
          <w:szCs w:val="32"/>
          <w:u w:val="none"/>
        </w:rPr>
      </w:pPr>
      <w:r>
        <w:rPr>
          <w:rFonts w:hint="eastAsia" w:ascii="仿宋" w:hAnsi="仿宋" w:eastAsia="仿宋"/>
          <w:spacing w:val="-3"/>
          <w:sz w:val="32"/>
          <w:szCs w:val="32"/>
          <w:u w:val="none"/>
        </w:rPr>
        <w:t>二、对于</w:t>
      </w:r>
      <w:r>
        <w:rPr>
          <w:rFonts w:hint="eastAsia" w:ascii="仿宋" w:hAnsi="仿宋" w:eastAsia="仿宋"/>
          <w:spacing w:val="3"/>
          <w:sz w:val="32"/>
          <w:szCs w:val="32"/>
          <w:u w:val="none"/>
        </w:rPr>
        <w:t>“遗产价值”指标项，1-8项</w:t>
      </w:r>
      <w:r>
        <w:rPr>
          <w:rFonts w:hint="eastAsia" w:ascii="仿宋" w:hAnsi="仿宋" w:eastAsia="仿宋"/>
          <w:spacing w:val="12"/>
          <w:sz w:val="32"/>
          <w:szCs w:val="32"/>
          <w:u w:val="none"/>
        </w:rPr>
        <w:t>二级指标中需至少有1项达到相应标准,9-11项二级指标作为评价参考；对于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“保护状况</w:t>
      </w:r>
      <w:r>
        <w:rPr>
          <w:rFonts w:hint="eastAsia" w:ascii="仿宋" w:hAnsi="仿宋" w:eastAsia="仿宋"/>
          <w:spacing w:val="-61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"</w:t>
      </w:r>
      <w:r>
        <w:rPr>
          <w:rFonts w:hint="eastAsia" w:ascii="仿宋" w:hAnsi="仿宋" w:eastAsia="仿宋"/>
          <w:spacing w:val="3"/>
          <w:sz w:val="32"/>
          <w:szCs w:val="32"/>
          <w:u w:val="none"/>
        </w:rPr>
        <w:t>指标项，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12-14项二级指</w:t>
      </w:r>
      <w:r>
        <w:rPr>
          <w:rFonts w:hint="eastAsia" w:ascii="仿宋" w:hAnsi="仿宋" w:eastAsia="仿宋"/>
          <w:spacing w:val="12"/>
          <w:sz w:val="32"/>
          <w:szCs w:val="32"/>
          <w:u w:val="none"/>
        </w:rPr>
        <w:t>标需达到相应标准；对于“管理水平"</w:t>
      </w:r>
      <w:r>
        <w:rPr>
          <w:rFonts w:hint="eastAsia" w:ascii="仿宋" w:hAnsi="仿宋" w:eastAsia="仿宋"/>
          <w:spacing w:val="3"/>
          <w:sz w:val="32"/>
          <w:szCs w:val="32"/>
          <w:u w:val="none"/>
        </w:rPr>
        <w:t>指标项，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15-17项二级指</w:t>
      </w:r>
      <w:r>
        <w:rPr>
          <w:rFonts w:hint="eastAsia" w:ascii="仿宋" w:hAnsi="仿宋" w:eastAsia="仿宋"/>
          <w:spacing w:val="12"/>
          <w:sz w:val="32"/>
          <w:szCs w:val="32"/>
          <w:u w:val="none"/>
        </w:rPr>
        <w:t>标中需至少有2项达到相应标准；所申报项目若为全国重点文物保护单位，则视同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“保护状况</w:t>
      </w:r>
      <w:r>
        <w:rPr>
          <w:rFonts w:hint="eastAsia" w:ascii="仿宋" w:hAnsi="仿宋" w:eastAsia="仿宋"/>
          <w:spacing w:val="-61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"和</w:t>
      </w:r>
      <w:r>
        <w:rPr>
          <w:rFonts w:hint="eastAsia" w:ascii="仿宋" w:hAnsi="仿宋" w:eastAsia="仿宋"/>
          <w:spacing w:val="12"/>
          <w:sz w:val="32"/>
          <w:szCs w:val="32"/>
          <w:u w:val="none"/>
        </w:rPr>
        <w:t>“管理水平"指标项均达到相应标准。</w:t>
      </w:r>
    </w:p>
    <w:p>
      <w:pPr>
        <w:spacing w:before="74" w:line="360" w:lineRule="auto"/>
        <w:ind w:firstLine="688" w:firstLineChars="200"/>
        <w:jc w:val="both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pacing w:val="12"/>
          <w:sz w:val="32"/>
          <w:szCs w:val="32"/>
          <w:u w:val="none"/>
        </w:rPr>
        <w:t>三、3项一</w:t>
      </w:r>
      <w:r>
        <w:rPr>
          <w:rFonts w:hint="eastAsia" w:ascii="仿宋" w:hAnsi="仿宋" w:eastAsia="仿宋"/>
          <w:spacing w:val="-1"/>
          <w:sz w:val="32"/>
          <w:szCs w:val="32"/>
          <w:u w:val="none"/>
        </w:rPr>
        <w:t>级指标均需达标,判定为满足评价指标要求。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979"/>
    <w:rsid w:val="00025979"/>
    <w:rsid w:val="00045CCC"/>
    <w:rsid w:val="00157857"/>
    <w:rsid w:val="001C7CB7"/>
    <w:rsid w:val="003C3E09"/>
    <w:rsid w:val="003E6BF7"/>
    <w:rsid w:val="00433513"/>
    <w:rsid w:val="004A0B23"/>
    <w:rsid w:val="005368B5"/>
    <w:rsid w:val="00645837"/>
    <w:rsid w:val="00797FC3"/>
    <w:rsid w:val="007A6C5B"/>
    <w:rsid w:val="007E74AD"/>
    <w:rsid w:val="00854461"/>
    <w:rsid w:val="00972E38"/>
    <w:rsid w:val="00A82670"/>
    <w:rsid w:val="00B34E8F"/>
    <w:rsid w:val="00B4409B"/>
    <w:rsid w:val="00D50041"/>
    <w:rsid w:val="00D6334C"/>
    <w:rsid w:val="00DE1AFC"/>
    <w:rsid w:val="00EB401D"/>
    <w:rsid w:val="B4F64B86"/>
    <w:rsid w:val="FBCD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760</Characters>
  <Lines>6</Lines>
  <Paragraphs>1</Paragraphs>
  <TotalTime>57</TotalTime>
  <ScaleCrop>false</ScaleCrop>
  <LinksUpToDate>false</LinksUpToDate>
  <CharactersWithSpaces>892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2022-03-23T00:40:00Z</dcterms:created>
  <dc:creator>王妍陆</dc:creator>
  <cp:lastModifiedBy>user</cp:lastModifiedBy>
  <cp:lastPrinted>2022-07-11T16:07:16Z</cp:lastPrinted>
  <dcterms:modified xsi:type="dcterms:W3CDTF">2022-07-11T16:14:28Z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