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B32A51">
      <w:pPr>
        <w:adjustRightInd w:val="0"/>
        <w:snapToGrid w:val="0"/>
        <w:spacing w:after="0" w:line="276" w:lineRule="auto"/>
        <w:jc w:val="left"/>
        <w:rPr>
          <w:rFonts w:hint="eastAsia" w:ascii="仿宋_GB2312" w:hAnsi="新宋体" w:eastAsia="仿宋_GB2312"/>
          <w:sz w:val="28"/>
          <w:szCs w:val="28"/>
        </w:rPr>
      </w:pPr>
    </w:p>
    <w:p w14:paraId="366B30E1">
      <w:pPr>
        <w:adjustRightInd w:val="0"/>
        <w:snapToGrid w:val="0"/>
        <w:spacing w:after="0" w:line="276" w:lineRule="auto"/>
        <w:jc w:val="left"/>
        <w:rPr>
          <w:rFonts w:hint="eastAsia" w:ascii="仿宋_GB2312" w:hAnsi="新宋体" w:eastAsia="仿宋_GB2312"/>
          <w:sz w:val="28"/>
          <w:szCs w:val="28"/>
        </w:rPr>
      </w:pPr>
    </w:p>
    <w:p w14:paraId="493EFE35">
      <w:pPr>
        <w:adjustRightInd w:val="0"/>
        <w:snapToGrid w:val="0"/>
        <w:spacing w:after="0" w:line="276" w:lineRule="auto"/>
        <w:jc w:val="left"/>
        <w:rPr>
          <w:rFonts w:hint="eastAsia" w:ascii="仿宋_GB2312" w:hAnsi="新宋体" w:eastAsia="仿宋_GB2312"/>
          <w:sz w:val="28"/>
          <w:szCs w:val="28"/>
        </w:rPr>
      </w:pPr>
    </w:p>
    <w:p w14:paraId="10AB0243">
      <w:pPr>
        <w:adjustRightInd w:val="0"/>
        <w:snapToGrid w:val="0"/>
        <w:spacing w:after="0" w:line="276" w:lineRule="auto"/>
        <w:jc w:val="center"/>
        <w:rPr>
          <w:rFonts w:hint="eastAsia" w:ascii="仿宋_GB2312" w:hAnsi="新宋体" w:eastAsia="仿宋_GB2312"/>
          <w:sz w:val="44"/>
          <w:szCs w:val="44"/>
        </w:rPr>
      </w:pPr>
    </w:p>
    <w:p w14:paraId="0B827100">
      <w:pPr>
        <w:adjustRightInd w:val="0"/>
        <w:snapToGrid w:val="0"/>
        <w:spacing w:after="0" w:line="276" w:lineRule="auto"/>
        <w:jc w:val="center"/>
        <w:rPr>
          <w:rFonts w:hint="eastAsia" w:ascii="黑体" w:hAnsi="新宋体" w:eastAsia="黑体"/>
          <w:sz w:val="36"/>
          <w:szCs w:val="36"/>
        </w:rPr>
      </w:pPr>
      <w:r>
        <w:rPr>
          <w:rFonts w:hint="eastAsia" w:ascii="黑体" w:hAnsi="新宋体" w:eastAsia="黑体"/>
          <w:sz w:val="36"/>
          <w:szCs w:val="36"/>
        </w:rPr>
        <w:t>辽宁省地方标准</w:t>
      </w:r>
    </w:p>
    <w:p w14:paraId="2635CA5E">
      <w:pPr>
        <w:adjustRightInd w:val="0"/>
        <w:snapToGrid w:val="0"/>
        <w:spacing w:after="0" w:line="276" w:lineRule="auto"/>
        <w:jc w:val="center"/>
        <w:rPr>
          <w:rFonts w:hint="eastAsia" w:ascii="黑体" w:hAnsi="新宋体" w:eastAsia="黑体"/>
          <w:sz w:val="36"/>
          <w:szCs w:val="36"/>
        </w:rPr>
      </w:pPr>
      <w:r>
        <w:rPr>
          <w:rFonts w:hint="eastAsia" w:ascii="黑体" w:hAnsi="新宋体" w:eastAsia="黑体"/>
          <w:sz w:val="36"/>
          <w:szCs w:val="36"/>
        </w:rPr>
        <w:t>《全钒液流电池电解液产品碳足迹核算评价技术规范》</w:t>
      </w:r>
    </w:p>
    <w:p w14:paraId="78A148EB">
      <w:pPr>
        <w:adjustRightInd w:val="0"/>
        <w:snapToGrid w:val="0"/>
        <w:spacing w:after="0" w:line="276" w:lineRule="auto"/>
        <w:jc w:val="center"/>
        <w:rPr>
          <w:rFonts w:hint="eastAsia" w:ascii="黑体" w:hAnsi="新宋体" w:eastAsia="黑体"/>
          <w:sz w:val="36"/>
          <w:szCs w:val="36"/>
        </w:rPr>
      </w:pPr>
      <w:r>
        <w:rPr>
          <w:rFonts w:hint="eastAsia" w:ascii="黑体" w:hAnsi="新宋体" w:eastAsia="黑体"/>
          <w:sz w:val="36"/>
          <w:szCs w:val="36"/>
        </w:rPr>
        <w:t>编制说明</w:t>
      </w:r>
    </w:p>
    <w:p w14:paraId="5E77583B">
      <w:pPr>
        <w:adjustRightInd w:val="0"/>
        <w:snapToGrid w:val="0"/>
        <w:spacing w:after="0" w:line="276" w:lineRule="auto"/>
        <w:jc w:val="left"/>
        <w:rPr>
          <w:rFonts w:hint="eastAsia" w:ascii="黑体" w:hAnsi="新宋体" w:eastAsia="黑体"/>
          <w:sz w:val="28"/>
          <w:szCs w:val="28"/>
        </w:rPr>
      </w:pPr>
    </w:p>
    <w:p w14:paraId="2380A8D3">
      <w:pPr>
        <w:adjustRightInd w:val="0"/>
        <w:snapToGrid w:val="0"/>
        <w:spacing w:after="0" w:line="276" w:lineRule="auto"/>
        <w:jc w:val="left"/>
        <w:rPr>
          <w:rFonts w:hint="eastAsia" w:ascii="黑体" w:hAnsi="新宋体" w:eastAsia="黑体"/>
          <w:sz w:val="28"/>
          <w:szCs w:val="28"/>
        </w:rPr>
      </w:pPr>
    </w:p>
    <w:p w14:paraId="19D974E1">
      <w:pPr>
        <w:adjustRightInd w:val="0"/>
        <w:snapToGrid w:val="0"/>
        <w:spacing w:after="0" w:line="276" w:lineRule="auto"/>
        <w:jc w:val="left"/>
        <w:rPr>
          <w:rFonts w:hint="eastAsia" w:ascii="黑体" w:hAnsi="新宋体" w:eastAsia="黑体"/>
          <w:sz w:val="28"/>
          <w:szCs w:val="28"/>
        </w:rPr>
      </w:pPr>
    </w:p>
    <w:p w14:paraId="4665A77E">
      <w:pPr>
        <w:adjustRightInd w:val="0"/>
        <w:snapToGrid w:val="0"/>
        <w:spacing w:after="0" w:line="276" w:lineRule="auto"/>
        <w:jc w:val="left"/>
        <w:rPr>
          <w:rFonts w:hint="eastAsia" w:ascii="黑体" w:hAnsi="新宋体" w:eastAsia="黑体"/>
          <w:sz w:val="28"/>
          <w:szCs w:val="28"/>
        </w:rPr>
      </w:pPr>
    </w:p>
    <w:p w14:paraId="44D758C0">
      <w:pPr>
        <w:adjustRightInd w:val="0"/>
        <w:snapToGrid w:val="0"/>
        <w:spacing w:after="0" w:line="276" w:lineRule="auto"/>
        <w:jc w:val="left"/>
        <w:rPr>
          <w:rFonts w:hint="eastAsia" w:ascii="黑体" w:hAnsi="新宋体" w:eastAsia="黑体"/>
          <w:sz w:val="28"/>
          <w:szCs w:val="28"/>
        </w:rPr>
      </w:pPr>
    </w:p>
    <w:p w14:paraId="14749EA3">
      <w:pPr>
        <w:adjustRightInd w:val="0"/>
        <w:snapToGrid w:val="0"/>
        <w:spacing w:after="0" w:line="276" w:lineRule="auto"/>
        <w:jc w:val="left"/>
        <w:rPr>
          <w:rFonts w:hint="eastAsia" w:ascii="黑体" w:hAnsi="新宋体" w:eastAsia="黑体"/>
          <w:sz w:val="28"/>
          <w:szCs w:val="28"/>
        </w:rPr>
      </w:pPr>
    </w:p>
    <w:p w14:paraId="58F6815F">
      <w:pPr>
        <w:adjustRightInd w:val="0"/>
        <w:snapToGrid w:val="0"/>
        <w:spacing w:after="0" w:line="276" w:lineRule="auto"/>
        <w:jc w:val="center"/>
        <w:rPr>
          <w:rFonts w:hint="eastAsia" w:ascii="黑体" w:hAnsi="新宋体" w:eastAsia="黑体"/>
          <w:sz w:val="28"/>
          <w:szCs w:val="28"/>
        </w:rPr>
      </w:pPr>
    </w:p>
    <w:p w14:paraId="03CDEF29">
      <w:pPr>
        <w:adjustRightInd w:val="0"/>
        <w:snapToGrid w:val="0"/>
        <w:spacing w:after="0" w:line="276" w:lineRule="auto"/>
        <w:jc w:val="center"/>
        <w:rPr>
          <w:rFonts w:hint="eastAsia" w:ascii="黑体" w:hAnsi="新宋体" w:eastAsia="黑体"/>
          <w:sz w:val="28"/>
          <w:szCs w:val="28"/>
        </w:rPr>
      </w:pPr>
      <w:r>
        <w:rPr>
          <w:rFonts w:hint="eastAsia" w:ascii="黑体" w:hAnsi="新宋体" w:eastAsia="黑体"/>
          <w:sz w:val="28"/>
          <w:szCs w:val="28"/>
        </w:rPr>
        <w:t>标准编制组</w:t>
      </w:r>
    </w:p>
    <w:p w14:paraId="0E5C9C9D">
      <w:pPr>
        <w:adjustRightInd w:val="0"/>
        <w:snapToGrid w:val="0"/>
        <w:spacing w:after="0" w:line="276" w:lineRule="auto"/>
        <w:jc w:val="center"/>
        <w:rPr>
          <w:rFonts w:hint="eastAsia" w:ascii="黑体" w:hAnsi="新宋体" w:eastAsia="黑体"/>
          <w:sz w:val="28"/>
          <w:szCs w:val="28"/>
        </w:rPr>
      </w:pPr>
      <w:r>
        <w:rPr>
          <w:rFonts w:hint="eastAsia" w:ascii="黑体" w:hAnsi="新宋体" w:eastAsia="黑体"/>
          <w:sz w:val="28"/>
          <w:szCs w:val="28"/>
        </w:rPr>
        <w:t>二O二五年六月</w:t>
      </w:r>
    </w:p>
    <w:p w14:paraId="3984F727">
      <w:pPr>
        <w:widowControl/>
        <w:spacing w:after="0" w:line="276" w:lineRule="auto"/>
        <w:jc w:val="left"/>
        <w:rPr>
          <w:rFonts w:eastAsia="仿宋_GB2312"/>
          <w:sz w:val="30"/>
          <w:szCs w:val="30"/>
        </w:rPr>
      </w:pPr>
      <w:r>
        <w:rPr>
          <w:rFonts w:eastAsia="仿宋_GB2312"/>
          <w:sz w:val="30"/>
          <w:szCs w:val="30"/>
        </w:rPr>
        <w:br w:type="page"/>
      </w:r>
    </w:p>
    <w:p w14:paraId="55C46466">
      <w:pPr>
        <w:spacing w:after="0"/>
        <w:jc w:val="center"/>
        <w:rPr>
          <w:rFonts w:eastAsia="方正小标宋简体" w:cs="黑体"/>
          <w:sz w:val="44"/>
          <w:szCs w:val="44"/>
        </w:rPr>
      </w:pPr>
      <w:r>
        <w:rPr>
          <w:rFonts w:hint="eastAsia" w:eastAsia="方正小标宋简体" w:cs="黑体"/>
          <w:sz w:val="44"/>
          <w:szCs w:val="44"/>
        </w:rPr>
        <w:t>辽宁省地方标准</w:t>
      </w:r>
      <w:r>
        <w:rPr>
          <w:rFonts w:eastAsia="方正小标宋简体" w:cs="黑体"/>
          <w:sz w:val="44"/>
          <w:szCs w:val="44"/>
        </w:rPr>
        <w:t>《</w:t>
      </w:r>
      <w:r>
        <w:rPr>
          <w:rFonts w:hint="eastAsia" w:eastAsia="方正小标宋简体" w:cs="黑体"/>
          <w:sz w:val="44"/>
          <w:szCs w:val="44"/>
        </w:rPr>
        <w:t>全钒液流电池电解液产品碳足迹核算评价技术规范</w:t>
      </w:r>
      <w:r>
        <w:rPr>
          <w:rFonts w:eastAsia="方正小标宋简体" w:cs="黑体"/>
          <w:sz w:val="44"/>
          <w:szCs w:val="44"/>
        </w:rPr>
        <w:t>》编制说</w:t>
      </w:r>
      <w:r>
        <w:rPr>
          <w:rFonts w:hint="eastAsia" w:eastAsia="方正小标宋简体" w:cs="黑体"/>
          <w:sz w:val="44"/>
          <w:szCs w:val="44"/>
        </w:rPr>
        <w:t>明</w:t>
      </w:r>
    </w:p>
    <w:p w14:paraId="11F0E6AA">
      <w:pPr>
        <w:pStyle w:val="24"/>
        <w:widowControl/>
        <w:numPr>
          <w:ilvl w:val="0"/>
          <w:numId w:val="11"/>
        </w:numPr>
        <w:spacing w:after="0"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工作简介</w:t>
      </w:r>
    </w:p>
    <w:p w14:paraId="61CDC100">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（一）任务来源</w:t>
      </w:r>
    </w:p>
    <w:p w14:paraId="2D721483">
      <w:pPr>
        <w:spacing w:after="0" w:line="276"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《全钒液流电池电解液产品碳足迹核算评价技术规范》（项目编号：2024033）是辽宁省市场监督管理局2024年立项的地方标准，由辽宁省检验检测认证中心负责组织制定。</w:t>
      </w:r>
    </w:p>
    <w:p w14:paraId="0C89B491">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（二）标准制订的必要性和意义</w:t>
      </w:r>
    </w:p>
    <w:p w14:paraId="59573BE9">
      <w:pPr>
        <w:spacing w:after="0" w:line="276"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全钒液流电池电解液是应用在新能源领域的一种化工产品。是以钒为活性物质呈循环流动液态的氧化还原电池的电解液。电能以化学能的方式存储在不同价态钒离子的硫酸电解液中，通过双电极板收集和传导电流，从而使得储存在溶液中的化学能转换成电能，目前广泛应用在储能项目中。辽宁省朝阳市有较丰富的钒矿资源，沈阳市正在打造“储能之都”，在此时机制定全钒液流电池电解液产品碳足迹核算评价技术规范可以助力省内生产企业在厂区建设和规划阶段就带入碳足迹核算的理念，本文件可为建设绿色低碳的生产企业提供评价方法。</w:t>
      </w:r>
    </w:p>
    <w:p w14:paraId="1D845A9C">
      <w:pPr>
        <w:spacing w:after="0" w:line="276" w:lineRule="auto"/>
        <w:ind w:firstLine="560" w:firstLineChars="200"/>
        <w:jc w:val="left"/>
        <w:rPr>
          <w:rFonts w:hint="eastAsia" w:ascii="仿宋_GB2312" w:hAnsi="宋体" w:eastAsia="仿宋_GB2312"/>
          <w:sz w:val="28"/>
          <w:szCs w:val="28"/>
        </w:rPr>
      </w:pPr>
      <w:r>
        <w:rPr>
          <w:rFonts w:ascii="仿宋_GB2312" w:hAnsi="宋体" w:eastAsia="仿宋_GB2312"/>
          <w:sz w:val="28"/>
          <w:szCs w:val="28"/>
        </w:rPr>
        <w:t>在全球双碳目标驱动下，全钒液流电池凭借长寿命、安全性高等优势，成为储能领域的重要发展方向。作为其核心组成部分，电解液产品的碳足迹核算直接关系到电池全生命周期的环境效益评估。当前，全钒液流电池电解液产品碳足迹核算缺乏统一规范，制定相关技术标准迫在眉睫，对产业发展与绿色转型具有关键意义。</w:t>
      </w:r>
    </w:p>
    <w:p w14:paraId="764FAFF3">
      <w:pPr>
        <w:spacing w:after="0" w:line="276" w:lineRule="auto"/>
        <w:ind w:firstLine="560" w:firstLineChars="200"/>
        <w:rPr>
          <w:rFonts w:hint="eastAsia" w:ascii="仿宋_GB2312" w:hAnsi="宋体" w:eastAsia="仿宋_GB2312"/>
          <w:sz w:val="28"/>
          <w:szCs w:val="28"/>
        </w:rPr>
      </w:pPr>
      <w:r>
        <w:rPr>
          <w:rFonts w:ascii="仿宋_GB2312" w:hAnsi="宋体" w:eastAsia="仿宋_GB2312"/>
          <w:sz w:val="28"/>
          <w:szCs w:val="28"/>
        </w:rPr>
        <w:t>统一的碳足迹核算规范可构建公平透明的竞争环境。当前，电解液市场因缺乏标准，企业在产品碳减排宣传上存在夸大或模糊表述现象。通过规范碳足迹核算，企业必须基于标准化方法优化生产工艺、采用清洁能源，降低电解液生产过程中的碳排放。同时，准确的碳足迹数据还能帮助产业链上下游企业识别高碳环节，通过技术合作与资源整合，实现全链条碳减排，提升全钒液流电池产业的整体绿色竞争力。</w:t>
      </w:r>
    </w:p>
    <w:p w14:paraId="43DC7B59">
      <w:pPr>
        <w:spacing w:after="0" w:line="276"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产品碳足迹核算技术规范评价以生命周期法为基础可以综合分析产品在整个生命周期过程中的温室气体相关环境负荷现状，规范产品碳足迹评价统一的基本规则和要求，目前还没有全钒液流电池电解液产品碳足迹的核算评价标准，制定本文件具有重要意义。</w:t>
      </w:r>
    </w:p>
    <w:p w14:paraId="635C5487">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（三）起草单位、协作单位、主要起草人及其所做的工作</w:t>
      </w:r>
    </w:p>
    <w:p w14:paraId="3471C173">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（四）主要工作过程</w:t>
      </w:r>
    </w:p>
    <w:p w14:paraId="0B1739D0">
      <w:pPr>
        <w:spacing w:after="0" w:line="276"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全钒液流电池电解液产品碳足迹核算评价技术规范》（项目编号：2024033）是2024年9月辽宁省市场监督管理局立项的项目。旨规范全钒液流电池电解液产品碳足迹核算，提出全钒液流电池电解液产品碳足迹核算评价技术规范这一标准。在该地方标准立项后立即组成了以我院相关专业人员为主的标准起草小组，并联系省内的主要生产企业和部分检验机构，对目前该方法的需求情况进行了广泛的调研。全体参加人员首先学习了省局发布的《辽宁省地方标准管理办法》，然后由标准起草小组主要负责同志介绍了项目的基本情况和研究内容，并分别对标准起草相关内容进行了讨论，确定了标准的研究方案和各人员分工，会议就征集标准参加起草、验证单位进行了初步讨论，对标准相关技术资料收集等进行了分工与布置，安排了相关工作和分工要求。标准验证工作由辽宁省产品质量监督检验院总负责。</w:t>
      </w:r>
    </w:p>
    <w:p w14:paraId="15119CA8">
      <w:pPr>
        <w:spacing w:after="0" w:line="276"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2024年9月</w:t>
      </w:r>
      <w:r>
        <w:rPr>
          <w:rFonts w:hint="eastAsia" w:ascii="仿宋_GB2312" w:hAnsi="宋体" w:eastAsia="仿宋_GB2312"/>
          <w:sz w:val="28"/>
          <w:szCs w:val="28"/>
          <w:lang w:eastAsia="zh-CN"/>
        </w:rPr>
        <w:t>至</w:t>
      </w:r>
      <w:r>
        <w:rPr>
          <w:rFonts w:hint="eastAsia" w:ascii="仿宋_GB2312" w:hAnsi="宋体" w:eastAsia="仿宋_GB2312"/>
          <w:sz w:val="28"/>
          <w:szCs w:val="28"/>
          <w:lang w:val="en-US" w:eastAsia="zh-CN"/>
        </w:rPr>
        <w:t>10月</w:t>
      </w:r>
      <w:r>
        <w:rPr>
          <w:rFonts w:hint="eastAsia" w:ascii="仿宋_GB2312" w:hAnsi="宋体" w:eastAsia="仿宋_GB2312"/>
          <w:sz w:val="28"/>
          <w:szCs w:val="28"/>
        </w:rPr>
        <w:t>，标准起草小组召开了工作会议。就标准起草中存在的争议及问题进行了一次讨论，就标准中的一些条款统一了意见，并对方法的关键技术要求和评价方法进行了细化，提出标准制定方案。</w:t>
      </w:r>
    </w:p>
    <w:p w14:paraId="2CB918FB">
      <w:pPr>
        <w:spacing w:after="0"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2024年11月-2025年</w:t>
      </w:r>
      <w:r>
        <w:rPr>
          <w:rFonts w:hint="eastAsia" w:ascii="仿宋_GB2312" w:hAnsi="宋体" w:eastAsia="仿宋_GB2312"/>
          <w:sz w:val="28"/>
          <w:szCs w:val="28"/>
          <w:lang w:val="en-US" w:eastAsia="zh-CN"/>
        </w:rPr>
        <w:t>5</w:t>
      </w:r>
      <w:r>
        <w:rPr>
          <w:rFonts w:hint="eastAsia" w:ascii="仿宋_GB2312" w:hAnsi="宋体" w:eastAsia="仿宋_GB2312"/>
          <w:sz w:val="28"/>
          <w:szCs w:val="28"/>
        </w:rPr>
        <w:t>月，标准起草小组召开工作会议。</w:t>
      </w:r>
      <w:r>
        <w:rPr>
          <w:rFonts w:hint="eastAsia" w:ascii="仿宋_GB2312" w:hAnsi="宋体" w:eastAsia="仿宋_GB2312"/>
          <w:sz w:val="28"/>
          <w:szCs w:val="28"/>
          <w:lang w:eastAsia="zh-CN"/>
        </w:rPr>
        <w:t>对标准内容及数据验证进行</w:t>
      </w:r>
      <w:r>
        <w:rPr>
          <w:rFonts w:hint="eastAsia" w:ascii="仿宋_GB2312" w:hAnsi="宋体" w:eastAsia="仿宋_GB2312"/>
          <w:sz w:val="28"/>
          <w:szCs w:val="28"/>
        </w:rPr>
        <w:t>讨论后</w:t>
      </w:r>
      <w:r>
        <w:rPr>
          <w:rFonts w:hint="eastAsia" w:ascii="仿宋_GB2312" w:hAnsi="宋体" w:eastAsia="仿宋_GB2312"/>
          <w:sz w:val="28"/>
          <w:szCs w:val="28"/>
          <w:lang w:eastAsia="zh-CN"/>
        </w:rPr>
        <w:t>，</w:t>
      </w:r>
      <w:r>
        <w:rPr>
          <w:rFonts w:hint="eastAsia" w:ascii="仿宋_GB2312" w:hAnsi="宋体" w:eastAsia="仿宋_GB2312"/>
          <w:sz w:val="28"/>
          <w:szCs w:val="28"/>
        </w:rPr>
        <w:t>修改了标准草案，在此基础上形成标准征求意见稿和编制说明。</w:t>
      </w:r>
    </w:p>
    <w:p w14:paraId="1451CE19">
      <w:pPr>
        <w:spacing w:after="0" w:line="276" w:lineRule="auto"/>
        <w:ind w:firstLine="560" w:firstLineChars="200"/>
        <w:rPr>
          <w:rFonts w:hint="eastAsia" w:ascii="仿宋_GB2312" w:hAnsi="宋体" w:eastAsia="仿宋_GB2312"/>
          <w:sz w:val="28"/>
          <w:szCs w:val="28"/>
        </w:rPr>
      </w:pPr>
      <w:r>
        <w:rPr>
          <w:rFonts w:hint="eastAsia" w:ascii="仿宋_GB2312" w:hAnsi="新宋体" w:eastAsia="仿宋_GB2312"/>
          <w:sz w:val="28"/>
          <w:szCs w:val="28"/>
        </w:rPr>
        <w:t>2025年6月</w:t>
      </w:r>
      <w:r>
        <w:rPr>
          <w:rFonts w:hint="eastAsia" w:ascii="仿宋_GB2312" w:hAnsi="新宋体" w:eastAsia="仿宋_GB2312"/>
          <w:sz w:val="28"/>
          <w:szCs w:val="28"/>
          <w:lang w:eastAsia="zh-CN"/>
        </w:rPr>
        <w:t>至今</w:t>
      </w:r>
      <w:r>
        <w:rPr>
          <w:rFonts w:hint="eastAsia" w:ascii="仿宋_GB2312" w:hAnsi="新宋体" w:eastAsia="仿宋_GB2312"/>
          <w:sz w:val="28"/>
          <w:szCs w:val="28"/>
        </w:rPr>
        <w:t>，</w:t>
      </w:r>
      <w:r>
        <w:rPr>
          <w:rFonts w:hint="eastAsia" w:ascii="仿宋_GB2312" w:hAnsi="宋体" w:eastAsia="仿宋_GB2312"/>
          <w:sz w:val="28"/>
          <w:szCs w:val="28"/>
        </w:rPr>
        <w:t>向省内主要的全钒液流电池电解液产品相关单位广泛征求意见。</w:t>
      </w:r>
    </w:p>
    <w:p w14:paraId="0A04BC28">
      <w:pPr>
        <w:pStyle w:val="24"/>
        <w:widowControl/>
        <w:numPr>
          <w:ilvl w:val="0"/>
          <w:numId w:val="11"/>
        </w:numPr>
        <w:spacing w:after="0" w:line="276" w:lineRule="auto"/>
        <w:ind w:firstLineChars="0"/>
        <w:jc w:val="left"/>
        <w:rPr>
          <w:rFonts w:hint="eastAsia" w:ascii="仿宋_GB2312" w:hAnsi="新宋体" w:eastAsia="仿宋_GB2312"/>
          <w:b/>
          <w:sz w:val="28"/>
          <w:szCs w:val="28"/>
        </w:rPr>
      </w:pPr>
      <w:bookmarkStart w:id="0" w:name="OLE_LINK18"/>
      <w:bookmarkStart w:id="1" w:name="OLE_LINK17"/>
      <w:r>
        <w:rPr>
          <w:rFonts w:hint="eastAsia" w:ascii="仿宋_GB2312" w:hAnsi="新宋体" w:eastAsia="仿宋_GB2312"/>
          <w:b/>
          <w:sz w:val="28"/>
          <w:szCs w:val="28"/>
        </w:rPr>
        <w:t>标准编制依据和原则</w:t>
      </w:r>
    </w:p>
    <w:bookmarkEnd w:id="0"/>
    <w:bookmarkEnd w:id="1"/>
    <w:p w14:paraId="72B2F71C">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（一）以国家标准为基础，结合实际情况制订</w:t>
      </w:r>
    </w:p>
    <w:p w14:paraId="56BEF04C">
      <w:pPr>
        <w:spacing w:after="0" w:line="276"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本标准依据《中华人民共和国标准化法》、GB/T 1.1-2020《标准化工作导则 第1部分：标准化文件的结构和起草规则》而编写，并参考了GB/T 24025-2009《环境标志和声明 III型环境声明原则和程序》、GB/T 24040-2008《环境管理 生命周期评价 原则与框架》、GB/T 24044-2008《环境管理 生命周期评价 要求与指南》、GB/T 24067-2024《温室气体 产品碳足迹 量化要求和指南》等标准化文件，提出全钒液流电池电解液产品碳足迹核算评价技术规范。本法尚无国家标准，所以制订地方标准来完善标准体系。</w:t>
      </w:r>
    </w:p>
    <w:p w14:paraId="761568A6">
      <w:pPr>
        <w:numPr>
          <w:ilvl w:val="0"/>
          <w:numId w:val="12"/>
        </w:num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紧密结合目前的检验工作实际需要</w:t>
      </w:r>
    </w:p>
    <w:p w14:paraId="2E5CAEBA">
      <w:pPr>
        <w:spacing w:after="0" w:line="276"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目前，国内尚无全钒液流电池电解液产品碳足迹核算评价技术规范的相关标准。</w:t>
      </w:r>
    </w:p>
    <w:p w14:paraId="34A7EA51">
      <w:pPr>
        <w:spacing w:after="0" w:line="276"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本标准对成品油快速检测移动实验室涉及到的安全和环境做出具体的要求，并提出了证实方法和具体的指标范围。通过本标准的制定，可以有效提高快速检测移动实验室检测结果的一致性，降低因环境控制差异造成的结果偏离。移动实验室环境条件的有效控制可以提高数据和结果的可信度，也可提高检测结果间的一致性。</w:t>
      </w:r>
    </w:p>
    <w:p w14:paraId="28D4E99D">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（三）标准的先进性和等效性的实际使用情况</w:t>
      </w:r>
    </w:p>
    <w:p w14:paraId="0B12EAC1">
      <w:pPr>
        <w:spacing w:after="0" w:line="276"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标准的制定是建立在科学研究基础之上，制定本标准不仅调研、验证了快速检测安全与环境的技术要求，同时认真地研究了国内对相关标准的使用情况，也充分考虑了与国家标准的等效性、衔接性。本标准的制订参考了GB/T 24040-2008《环境管理 生命周期评价 原则与框架》、GB/T 24044-2008《环境管理 生命周期评价 要求与指南》、GB/T 24067-2024《温室气体 产品碳足迹 量化要求和指南》、GB/T 24067-2024《温室气体 产品碳足迹 量化要求和指南》等标准化文件，结合全钒液流电池电解液的特殊性，提出本规范。</w:t>
      </w:r>
    </w:p>
    <w:p w14:paraId="6FC4A2DC">
      <w:pPr>
        <w:pStyle w:val="24"/>
        <w:numPr>
          <w:ilvl w:val="0"/>
          <w:numId w:val="13"/>
        </w:numPr>
        <w:adjustRightInd w:val="0"/>
        <w:snapToGrid w:val="0"/>
        <w:spacing w:after="0"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标准主要内容的说明</w:t>
      </w:r>
    </w:p>
    <w:p w14:paraId="65A8CD54">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（一）标准名称</w:t>
      </w:r>
    </w:p>
    <w:p w14:paraId="17D9EFA7">
      <w:pPr>
        <w:spacing w:after="0" w:line="276"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本文件的计划项目名称为《全钒液流电池电解液产品碳足迹核算评价技术规范》，主要技术内容是建立全钒液流电池电解液产品碳足迹核算评价技术规范，主要技术内容包括术语定义、核算范围、功能单位、系统边界、数据收集与处理、核算、报告等内容。在附录中提供具体的碳足迹评价报告主要内容和示例作为资料性附录使用。</w:t>
      </w:r>
    </w:p>
    <w:p w14:paraId="1ECB8EDF">
      <w:pPr>
        <w:pStyle w:val="26"/>
        <w:adjustRightInd w:val="0"/>
        <w:snapToGrid w:val="0"/>
        <w:spacing w:after="0" w:line="276" w:lineRule="auto"/>
        <w:ind w:firstLine="0" w:firstLineChars="0"/>
        <w:jc w:val="left"/>
        <w:rPr>
          <w:rFonts w:hint="eastAsia" w:ascii="仿宋_GB2312" w:hAnsi="新宋体" w:eastAsia="仿宋_GB2312"/>
          <w:b/>
          <w:sz w:val="28"/>
          <w:szCs w:val="28"/>
        </w:rPr>
      </w:pPr>
      <w:r>
        <w:rPr>
          <w:rFonts w:hint="eastAsia" w:ascii="仿宋_GB2312" w:hAnsi="新宋体" w:eastAsia="仿宋_GB2312"/>
          <w:b/>
          <w:sz w:val="28"/>
          <w:szCs w:val="28"/>
        </w:rPr>
        <w:t>（二）范围</w:t>
      </w:r>
    </w:p>
    <w:p w14:paraId="709E7A86">
      <w:pPr>
        <w:spacing w:after="0" w:line="276"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本文件规定了全钒液流电池电解液产品碳足迹核算评价的技术内容，包括术语定义、核算范围、功能单位、系统边界、数据收集与处理、核算、报告等内容。适用于全钒液流电池电解液产品碳足迹的核算活动。</w:t>
      </w:r>
    </w:p>
    <w:p w14:paraId="3AC93369">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（三）规范性引用文件</w:t>
      </w:r>
    </w:p>
    <w:p w14:paraId="53C619FD">
      <w:pPr>
        <w:spacing w:after="0" w:line="276"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本文件引用了一些国行标的取样方法标准作为规范性引用文件，为本文件的制订提供支持和依据。如GB/T 24040-2008《环境管理 生命周期评价 原则与框架》、GB/T 24044-2008《环境管理 生命周期评价 要求与指南》、GB/T 24067-2024《温室气体 产品碳足迹 量化要求和指南》、GB/T 24067-2024《温室气体 产品碳足迹 量化要求和指南》等。</w:t>
      </w:r>
    </w:p>
    <w:p w14:paraId="71DFDD64">
      <w:pPr>
        <w:pStyle w:val="24"/>
        <w:numPr>
          <w:ilvl w:val="0"/>
          <w:numId w:val="14"/>
        </w:numPr>
        <w:adjustRightInd w:val="0"/>
        <w:snapToGrid w:val="0"/>
        <w:spacing w:after="0"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要求</w:t>
      </w:r>
    </w:p>
    <w:p w14:paraId="15E8336D">
      <w:pPr>
        <w:pStyle w:val="28"/>
        <w:numPr>
          <w:ilvl w:val="0"/>
          <w:numId w:val="15"/>
        </w:numPr>
        <w:spacing w:before="312" w:after="0" w:afterLines="0" w:line="240" w:lineRule="auto"/>
        <w:rPr>
          <w:rFonts w:hint="eastAsia" w:ascii="仿宋_GB2312" w:hAnsi="新宋体" w:eastAsia="仿宋_GB2312"/>
          <w:b/>
          <w:kern w:val="2"/>
          <w:sz w:val="28"/>
          <w:szCs w:val="28"/>
        </w:rPr>
      </w:pPr>
      <w:bookmarkStart w:id="2" w:name="_Toc202133198"/>
      <w:bookmarkStart w:id="3" w:name="_Toc202736875"/>
      <w:r>
        <w:rPr>
          <w:rFonts w:hint="eastAsia" w:ascii="仿宋_GB2312" w:hAnsi="新宋体" w:eastAsia="仿宋_GB2312"/>
          <w:b/>
          <w:kern w:val="2"/>
          <w:sz w:val="28"/>
          <w:szCs w:val="28"/>
        </w:rPr>
        <w:t>核算范围</w:t>
      </w:r>
      <w:bookmarkEnd w:id="2"/>
      <w:bookmarkEnd w:id="3"/>
    </w:p>
    <w:p w14:paraId="08098F7A">
      <w:pPr>
        <w:pStyle w:val="27"/>
        <w:spacing w:after="0"/>
        <w:ind w:firstLine="560"/>
        <w:rPr>
          <w:rFonts w:hint="eastAsia" w:ascii="仿宋_GB2312" w:hAnsi="宋体" w:eastAsia="仿宋_GB2312"/>
          <w:kern w:val="2"/>
          <w:sz w:val="28"/>
          <w:szCs w:val="28"/>
        </w:rPr>
      </w:pPr>
      <w:r>
        <w:rPr>
          <w:rFonts w:hint="eastAsia" w:ascii="仿宋_GB2312" w:hAnsi="宋体" w:eastAsia="仿宋_GB2312"/>
          <w:kern w:val="2"/>
          <w:sz w:val="28"/>
          <w:szCs w:val="28"/>
        </w:rPr>
        <w:t>规定了核算范围，包括</w:t>
      </w:r>
      <w:r>
        <w:rPr>
          <w:rFonts w:ascii="仿宋_GB2312" w:hAnsi="宋体" w:eastAsia="仿宋_GB2312"/>
          <w:kern w:val="2"/>
          <w:sz w:val="28"/>
          <w:szCs w:val="28"/>
        </w:rPr>
        <w:t>全钒液流电池电解液碳足迹</w:t>
      </w:r>
      <w:r>
        <w:rPr>
          <w:rFonts w:hint="eastAsia" w:ascii="仿宋_GB2312" w:hAnsi="宋体" w:eastAsia="仿宋_GB2312"/>
          <w:kern w:val="2"/>
          <w:sz w:val="28"/>
          <w:szCs w:val="28"/>
        </w:rPr>
        <w:t>生命周期内从</w:t>
      </w:r>
      <w:r>
        <w:rPr>
          <w:rFonts w:ascii="仿宋_GB2312" w:hAnsi="宋体" w:eastAsia="仿宋_GB2312"/>
          <w:kern w:val="2"/>
          <w:sz w:val="28"/>
          <w:szCs w:val="28"/>
        </w:rPr>
        <w:t>原材料获取、生产加工</w:t>
      </w:r>
      <w:r>
        <w:rPr>
          <w:rFonts w:hint="eastAsia" w:ascii="仿宋_GB2312" w:hAnsi="宋体" w:eastAsia="仿宋_GB2312"/>
          <w:kern w:val="2"/>
          <w:sz w:val="28"/>
          <w:szCs w:val="28"/>
        </w:rPr>
        <w:t>到</w:t>
      </w:r>
      <w:r>
        <w:rPr>
          <w:rFonts w:ascii="仿宋_GB2312" w:hAnsi="宋体" w:eastAsia="仿宋_GB2312"/>
          <w:kern w:val="2"/>
          <w:sz w:val="28"/>
          <w:szCs w:val="28"/>
        </w:rPr>
        <w:t>出厂前物流</w:t>
      </w:r>
      <w:r>
        <w:rPr>
          <w:rFonts w:hint="eastAsia" w:ascii="仿宋_GB2312" w:hAnsi="宋体" w:eastAsia="仿宋_GB2312"/>
          <w:kern w:val="2"/>
          <w:sz w:val="28"/>
          <w:szCs w:val="28"/>
        </w:rPr>
        <w:t>阶段的温室气体排放，具体涵盖以下范围：</w:t>
      </w:r>
    </w:p>
    <w:p w14:paraId="71D1FB9B">
      <w:pPr>
        <w:pStyle w:val="29"/>
        <w:numPr>
          <w:ilvl w:val="0"/>
          <w:numId w:val="0"/>
        </w:numPr>
        <w:spacing w:before="156" w:after="0" w:afterLines="0"/>
        <w:rPr>
          <w:rFonts w:hint="eastAsia" w:ascii="仿宋_GB2312" w:hAnsi="宋体" w:eastAsia="仿宋_GB2312"/>
          <w:kern w:val="2"/>
          <w:sz w:val="28"/>
          <w:szCs w:val="28"/>
        </w:rPr>
      </w:pPr>
      <w:bookmarkStart w:id="4" w:name="_Toc202133199"/>
      <w:bookmarkStart w:id="5" w:name="_Toc202736876"/>
      <w:r>
        <w:rPr>
          <w:rFonts w:hint="eastAsia" w:ascii="仿宋_GB2312" w:hAnsi="宋体" w:eastAsia="仿宋_GB2312"/>
          <w:kern w:val="2"/>
          <w:sz w:val="28"/>
          <w:szCs w:val="28"/>
        </w:rPr>
        <w:t>1</w:t>
      </w:r>
      <w:r>
        <w:rPr>
          <w:rFonts w:ascii="仿宋_GB2312" w:hAnsi="宋体" w:eastAsia="仿宋_GB2312"/>
          <w:kern w:val="2"/>
          <w:sz w:val="28"/>
          <w:szCs w:val="28"/>
        </w:rPr>
        <w:t xml:space="preserve">.1 </w:t>
      </w:r>
      <w:r>
        <w:rPr>
          <w:rFonts w:hint="eastAsia" w:ascii="仿宋_GB2312" w:hAnsi="宋体" w:eastAsia="仿宋_GB2312"/>
          <w:kern w:val="2"/>
          <w:sz w:val="28"/>
          <w:szCs w:val="28"/>
        </w:rPr>
        <w:t>原材料获取</w:t>
      </w:r>
      <w:r>
        <w:rPr>
          <w:rFonts w:eastAsia="仿宋_GB2312"/>
          <w:kern w:val="2"/>
          <w:sz w:val="28"/>
          <w:szCs w:val="28"/>
        </w:rPr>
        <w:t>​</w:t>
      </w:r>
      <w:bookmarkEnd w:id="4"/>
      <w:bookmarkEnd w:id="5"/>
    </w:p>
    <w:p w14:paraId="1FAE63AB">
      <w:pPr>
        <w:pStyle w:val="27"/>
        <w:spacing w:after="0"/>
        <w:ind w:firstLine="560"/>
        <w:rPr>
          <w:rFonts w:hint="eastAsia" w:ascii="仿宋_GB2312" w:hAnsi="宋体" w:eastAsia="仿宋_GB2312"/>
          <w:kern w:val="2"/>
          <w:sz w:val="28"/>
          <w:szCs w:val="28"/>
        </w:rPr>
      </w:pPr>
      <w:r>
        <w:rPr>
          <w:rFonts w:hint="eastAsia" w:ascii="仿宋_GB2312" w:hAnsi="宋体" w:eastAsia="仿宋_GB2312"/>
          <w:kern w:val="2"/>
          <w:sz w:val="28"/>
          <w:szCs w:val="28"/>
        </w:rPr>
        <w:t>包括钒矿石开采、提炼以及硫酸等其他原材料的生产和获取过程中产生的温室气体排放。</w:t>
      </w:r>
      <w:r>
        <w:rPr>
          <w:rFonts w:ascii="Times New Roman" w:eastAsia="仿宋_GB2312"/>
          <w:kern w:val="2"/>
          <w:sz w:val="28"/>
          <w:szCs w:val="28"/>
        </w:rPr>
        <w:t>​</w:t>
      </w:r>
    </w:p>
    <w:p w14:paraId="0032626E">
      <w:pPr>
        <w:pStyle w:val="29"/>
        <w:numPr>
          <w:ilvl w:val="0"/>
          <w:numId w:val="0"/>
        </w:numPr>
        <w:spacing w:before="156" w:after="0" w:afterLines="0"/>
        <w:rPr>
          <w:rFonts w:hint="eastAsia" w:ascii="仿宋_GB2312" w:hAnsi="宋体" w:eastAsia="仿宋_GB2312"/>
          <w:kern w:val="2"/>
          <w:sz w:val="28"/>
          <w:szCs w:val="28"/>
        </w:rPr>
      </w:pPr>
      <w:bookmarkStart w:id="6" w:name="_Toc202133200"/>
      <w:bookmarkStart w:id="7" w:name="_Toc202736877"/>
      <w:r>
        <w:rPr>
          <w:rFonts w:hint="eastAsia" w:ascii="仿宋_GB2312" w:hAnsi="宋体" w:eastAsia="仿宋_GB2312"/>
          <w:kern w:val="2"/>
          <w:sz w:val="28"/>
          <w:szCs w:val="28"/>
        </w:rPr>
        <w:t>1</w:t>
      </w:r>
      <w:r>
        <w:rPr>
          <w:rFonts w:ascii="仿宋_GB2312" w:hAnsi="宋体" w:eastAsia="仿宋_GB2312"/>
          <w:kern w:val="2"/>
          <w:sz w:val="28"/>
          <w:szCs w:val="28"/>
        </w:rPr>
        <w:t xml:space="preserve">.2 </w:t>
      </w:r>
      <w:r>
        <w:rPr>
          <w:rFonts w:hint="eastAsia" w:ascii="仿宋_GB2312" w:hAnsi="宋体" w:eastAsia="仿宋_GB2312"/>
          <w:kern w:val="2"/>
          <w:sz w:val="28"/>
          <w:szCs w:val="28"/>
        </w:rPr>
        <w:t>生产加工</w:t>
      </w:r>
      <w:r>
        <w:rPr>
          <w:rFonts w:eastAsia="仿宋_GB2312"/>
          <w:kern w:val="2"/>
          <w:sz w:val="28"/>
          <w:szCs w:val="28"/>
        </w:rPr>
        <w:t>​</w:t>
      </w:r>
      <w:bookmarkEnd w:id="6"/>
      <w:bookmarkEnd w:id="7"/>
    </w:p>
    <w:p w14:paraId="27F6B821">
      <w:pPr>
        <w:pStyle w:val="27"/>
        <w:spacing w:after="0"/>
        <w:ind w:firstLine="560"/>
        <w:rPr>
          <w:rFonts w:hint="eastAsia" w:ascii="仿宋_GB2312" w:hAnsi="宋体" w:eastAsia="仿宋_GB2312"/>
          <w:kern w:val="2"/>
          <w:sz w:val="28"/>
          <w:szCs w:val="28"/>
        </w:rPr>
      </w:pPr>
      <w:r>
        <w:rPr>
          <w:rFonts w:hint="eastAsia" w:ascii="仿宋_GB2312" w:hAnsi="宋体" w:eastAsia="仿宋_GB2312"/>
          <w:kern w:val="2"/>
          <w:sz w:val="28"/>
          <w:szCs w:val="28"/>
        </w:rPr>
        <w:t>涵盖电解液生产过程中的所有工艺环节，如钒离子溶液的制备、混合、净化等过程中消耗能源和使用化学品所导致的温室气体排放。</w:t>
      </w:r>
      <w:r>
        <w:rPr>
          <w:rFonts w:ascii="Times New Roman" w:eastAsia="仿宋_GB2312"/>
          <w:kern w:val="2"/>
          <w:sz w:val="28"/>
          <w:szCs w:val="28"/>
        </w:rPr>
        <w:t>​</w:t>
      </w:r>
    </w:p>
    <w:p w14:paraId="3F029D3C">
      <w:pPr>
        <w:pStyle w:val="29"/>
        <w:numPr>
          <w:ilvl w:val="0"/>
          <w:numId w:val="0"/>
        </w:numPr>
        <w:spacing w:before="156" w:after="0" w:afterLines="0"/>
        <w:rPr>
          <w:rFonts w:hint="eastAsia" w:ascii="仿宋_GB2312" w:hAnsi="宋体" w:eastAsia="仿宋_GB2312"/>
          <w:kern w:val="2"/>
          <w:sz w:val="28"/>
          <w:szCs w:val="28"/>
        </w:rPr>
      </w:pPr>
      <w:bookmarkStart w:id="8" w:name="_Toc202736878"/>
      <w:bookmarkStart w:id="9" w:name="_Toc202133201"/>
      <w:r>
        <w:rPr>
          <w:rFonts w:hint="eastAsia" w:ascii="仿宋_GB2312" w:hAnsi="宋体" w:eastAsia="仿宋_GB2312"/>
          <w:kern w:val="2"/>
          <w:sz w:val="28"/>
          <w:szCs w:val="28"/>
        </w:rPr>
        <w:t>1</w:t>
      </w:r>
      <w:r>
        <w:rPr>
          <w:rFonts w:ascii="仿宋_GB2312" w:hAnsi="宋体" w:eastAsia="仿宋_GB2312"/>
          <w:kern w:val="2"/>
          <w:sz w:val="28"/>
          <w:szCs w:val="28"/>
        </w:rPr>
        <w:t xml:space="preserve">.3 </w:t>
      </w:r>
      <w:r>
        <w:rPr>
          <w:rFonts w:hint="eastAsia" w:ascii="仿宋_GB2312" w:hAnsi="宋体" w:eastAsia="仿宋_GB2312"/>
          <w:kern w:val="2"/>
          <w:sz w:val="28"/>
          <w:szCs w:val="28"/>
        </w:rPr>
        <w:t>运输与分销</w:t>
      </w:r>
      <w:r>
        <w:rPr>
          <w:rFonts w:eastAsia="仿宋_GB2312"/>
          <w:kern w:val="2"/>
          <w:sz w:val="28"/>
          <w:szCs w:val="28"/>
        </w:rPr>
        <w:t>​</w:t>
      </w:r>
      <w:bookmarkEnd w:id="8"/>
      <w:bookmarkEnd w:id="9"/>
    </w:p>
    <w:p w14:paraId="6256E774">
      <w:pPr>
        <w:pStyle w:val="27"/>
        <w:spacing w:after="0"/>
        <w:ind w:firstLine="560"/>
        <w:rPr>
          <w:rFonts w:hint="eastAsia" w:ascii="仿宋_GB2312" w:hAnsi="宋体" w:eastAsia="仿宋_GB2312"/>
          <w:kern w:val="2"/>
          <w:sz w:val="28"/>
          <w:szCs w:val="28"/>
        </w:rPr>
      </w:pPr>
      <w:r>
        <w:rPr>
          <w:rFonts w:hint="eastAsia" w:ascii="仿宋_GB2312" w:hAnsi="宋体" w:eastAsia="仿宋_GB2312"/>
          <w:kern w:val="2"/>
          <w:sz w:val="28"/>
          <w:szCs w:val="28"/>
        </w:rPr>
        <w:t>从原材料运输至生产场地，以及生产好的电解液产品运输至客户指定地点过程中，运输工具消耗燃料产生的温室气体排放。</w:t>
      </w:r>
      <w:r>
        <w:rPr>
          <w:rFonts w:ascii="Times New Roman" w:eastAsia="仿宋_GB2312"/>
          <w:kern w:val="2"/>
          <w:sz w:val="28"/>
          <w:szCs w:val="28"/>
        </w:rPr>
        <w:t>​</w:t>
      </w:r>
    </w:p>
    <w:p w14:paraId="3AFA331E">
      <w:pPr>
        <w:pStyle w:val="29"/>
        <w:numPr>
          <w:ilvl w:val="0"/>
          <w:numId w:val="0"/>
        </w:numPr>
        <w:spacing w:before="156" w:after="0" w:afterLines="0"/>
        <w:rPr>
          <w:rFonts w:hint="eastAsia" w:ascii="仿宋_GB2312" w:hAnsi="宋体" w:eastAsia="仿宋_GB2312"/>
          <w:kern w:val="2"/>
          <w:sz w:val="28"/>
          <w:szCs w:val="28"/>
        </w:rPr>
      </w:pPr>
      <w:bookmarkStart w:id="10" w:name="_Toc202736879"/>
      <w:bookmarkStart w:id="11" w:name="_Toc202133202"/>
      <w:r>
        <w:rPr>
          <w:rFonts w:hint="eastAsia" w:ascii="仿宋_GB2312" w:hAnsi="宋体" w:eastAsia="仿宋_GB2312"/>
          <w:kern w:val="2"/>
          <w:sz w:val="28"/>
          <w:szCs w:val="28"/>
        </w:rPr>
        <w:t>1</w:t>
      </w:r>
      <w:r>
        <w:rPr>
          <w:rFonts w:ascii="仿宋_GB2312" w:hAnsi="宋体" w:eastAsia="仿宋_GB2312"/>
          <w:kern w:val="2"/>
          <w:sz w:val="28"/>
          <w:szCs w:val="28"/>
        </w:rPr>
        <w:t xml:space="preserve">.4 </w:t>
      </w:r>
      <w:r>
        <w:rPr>
          <w:rFonts w:hint="eastAsia" w:ascii="仿宋_GB2312" w:hAnsi="宋体" w:eastAsia="仿宋_GB2312"/>
          <w:kern w:val="2"/>
          <w:sz w:val="28"/>
          <w:szCs w:val="28"/>
        </w:rPr>
        <w:t>辅助生产活动</w:t>
      </w:r>
      <w:r>
        <w:rPr>
          <w:rFonts w:eastAsia="仿宋_GB2312"/>
          <w:kern w:val="2"/>
          <w:sz w:val="28"/>
          <w:szCs w:val="28"/>
        </w:rPr>
        <w:t>​</w:t>
      </w:r>
      <w:bookmarkEnd w:id="10"/>
      <w:bookmarkEnd w:id="11"/>
    </w:p>
    <w:p w14:paraId="2B87E7E8">
      <w:pPr>
        <w:pStyle w:val="27"/>
        <w:spacing w:after="0"/>
        <w:ind w:firstLine="560"/>
        <w:rPr>
          <w:rFonts w:hint="eastAsia" w:ascii="仿宋_GB2312" w:hAnsi="宋体" w:eastAsia="仿宋_GB2312"/>
          <w:kern w:val="2"/>
          <w:sz w:val="28"/>
          <w:szCs w:val="28"/>
        </w:rPr>
      </w:pPr>
      <w:r>
        <w:rPr>
          <w:rFonts w:hint="eastAsia" w:ascii="仿宋_GB2312" w:hAnsi="宋体" w:eastAsia="仿宋_GB2312"/>
          <w:kern w:val="2"/>
          <w:sz w:val="28"/>
          <w:szCs w:val="28"/>
        </w:rPr>
        <w:t>生产场地内的辅助活动，如生产设备的维护、保养，以及场地照明、供暖、制冷等能源消耗所产生的温室气体排放。</w:t>
      </w:r>
    </w:p>
    <w:p w14:paraId="5E42D3D7">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2  功能单位</w:t>
      </w:r>
    </w:p>
    <w:p w14:paraId="7B966CC5">
      <w:pPr>
        <w:adjustRightInd w:val="0"/>
        <w:snapToGrid w:val="0"/>
        <w:spacing w:after="0"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以质量（如1千克）全钒液流电池电解液产品作为功能单位，用于量化和比较产品碳足迹。选择该功能单位是因为它能够直观地反映生产单位质量电解液所产生的温室气体排放情况，便于不同企业和产品之间进行碳足迹的对比分析。</w:t>
      </w:r>
    </w:p>
    <w:p w14:paraId="7622BDDD">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3 系统边界</w:t>
      </w:r>
    </w:p>
    <w:p w14:paraId="68440E0A">
      <w:pPr>
        <w:pStyle w:val="27"/>
        <w:spacing w:after="0" w:line="360" w:lineRule="auto"/>
        <w:ind w:firstLine="560"/>
        <w:rPr>
          <w:rFonts w:hint="eastAsia" w:ascii="仿宋_GB2312" w:hAnsi="宋体" w:eastAsia="仿宋_GB2312"/>
          <w:kern w:val="2"/>
          <w:sz w:val="28"/>
          <w:szCs w:val="28"/>
        </w:rPr>
      </w:pPr>
      <w:r>
        <w:rPr>
          <w:rFonts w:hint="eastAsia" w:ascii="仿宋_GB2312" w:hAnsi="宋体" w:eastAsia="仿宋_GB2312"/>
          <w:kern w:val="2"/>
          <w:sz w:val="28"/>
          <w:szCs w:val="28"/>
        </w:rPr>
        <w:t>产品碳足迹的系统边界为“摇篮到大门”类别，包括原辅料及能源动力获取阶段、生产阶段和厂内外运输阶段,产品碳足迹系统边界示意图见图1，详细见表1。产品部分碳足迹的系统边界为“门到门"类别，包括</w:t>
      </w:r>
      <w:r>
        <w:rPr>
          <w:rFonts w:ascii="仿宋_GB2312" w:hAnsi="宋体" w:eastAsia="仿宋_GB2312"/>
          <w:kern w:val="2"/>
          <w:sz w:val="28"/>
          <w:szCs w:val="28"/>
        </w:rPr>
        <w:t>全钒液流电池</w:t>
      </w:r>
      <w:r>
        <w:rPr>
          <w:rFonts w:hint="eastAsia" w:ascii="仿宋_GB2312" w:hAnsi="宋体" w:eastAsia="仿宋_GB2312"/>
          <w:kern w:val="2"/>
          <w:sz w:val="28"/>
          <w:szCs w:val="28"/>
        </w:rPr>
        <w:t>电解液生产阶段和厂内运输阶段。</w:t>
      </w:r>
    </w:p>
    <w:p w14:paraId="4BBD3A61">
      <w:pPr>
        <w:adjustRightInd w:val="0"/>
        <w:snapToGrid w:val="0"/>
        <w:spacing w:after="0"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产品碳足迹和产品部分碳足迹不应包括碳抵消，与碳抵消无关的温室气体排放清除量可纳入产品系统边界内。厂房和生产设备等固定资产的生产制造过程、厂区内宿舍等生活配套设施生产过程及运行过程产生的碳排放不纳入系统边界。系统边界内单元过程的划分应考虑重要程度和数据收集难易程度等因素，尽量合并相关单元过程，如厂内运输，以降低数据收集、拆分的难度，提高各单元过程数据准确性。</w:t>
      </w:r>
    </w:p>
    <w:p w14:paraId="6C6E986B">
      <w:pPr>
        <w:adjustRightInd w:val="0"/>
        <w:snapToGrid w:val="0"/>
        <w:spacing w:after="0" w:line="276" w:lineRule="auto"/>
        <w:jc w:val="center"/>
        <w:rPr>
          <w:rFonts w:hint="eastAsia" w:ascii="仿宋_GB2312" w:hAnsi="新宋体" w:eastAsia="仿宋_GB2312"/>
          <w:b/>
          <w:sz w:val="28"/>
          <w:szCs w:val="28"/>
        </w:rPr>
      </w:pPr>
      <w:r>
        <w:drawing>
          <wp:inline distT="0" distB="0" distL="0" distR="0">
            <wp:extent cx="4515485" cy="2460625"/>
            <wp:effectExtent l="0" t="0" r="0" b="0"/>
            <wp:docPr id="170069940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699405"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527482" cy="2467488"/>
                    </a:xfrm>
                    <a:prstGeom prst="rect">
                      <a:avLst/>
                    </a:prstGeom>
                    <a:noFill/>
                    <a:ln>
                      <a:noFill/>
                    </a:ln>
                  </pic:spPr>
                </pic:pic>
              </a:graphicData>
            </a:graphic>
          </wp:inline>
        </w:drawing>
      </w:r>
    </w:p>
    <w:p w14:paraId="042E4C91">
      <w:pPr>
        <w:pStyle w:val="79"/>
        <w:numPr>
          <w:ilvl w:val="0"/>
          <w:numId w:val="16"/>
        </w:numPr>
        <w:spacing w:before="156" w:after="156"/>
      </w:pPr>
      <w:r>
        <w:rPr>
          <w:rFonts w:hint="eastAsia"/>
        </w:rPr>
        <w:t>产品碳足迹系统边界</w:t>
      </w:r>
    </w:p>
    <w:p w14:paraId="7F3BF95D">
      <w:pPr>
        <w:numPr>
          <w:ilvl w:val="0"/>
          <w:numId w:val="17"/>
        </w:numPr>
        <w:adjustRightInd w:val="0"/>
        <w:spacing w:after="0" w:line="400" w:lineRule="exact"/>
        <w:jc w:val="center"/>
        <w:rPr>
          <w:rFonts w:ascii="黑体" w:eastAsia="黑体"/>
          <w:kern w:val="0"/>
          <w:szCs w:val="20"/>
        </w:rPr>
      </w:pPr>
      <w:r>
        <w:rPr>
          <w:rFonts w:hint="eastAsia" w:ascii="黑体" w:eastAsia="黑体"/>
          <w:kern w:val="0"/>
          <w:szCs w:val="20"/>
        </w:rPr>
        <w:t>原材料和能源获取阶段系统边界</w:t>
      </w:r>
    </w:p>
    <w:tbl>
      <w:tblPr>
        <w:tblStyle w:val="1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421"/>
        <w:gridCol w:w="4556"/>
        <w:gridCol w:w="1887"/>
      </w:tblGrid>
      <w:tr w14:paraId="50952A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562" w:type="dxa"/>
            <w:tcBorders>
              <w:top w:val="single" w:color="auto" w:sz="8" w:space="0"/>
              <w:bottom w:val="single" w:color="auto" w:sz="8" w:space="0"/>
            </w:tcBorders>
          </w:tcPr>
          <w:p w14:paraId="3ADA744E">
            <w:pPr>
              <w:pStyle w:val="80"/>
            </w:pPr>
            <w:r>
              <w:rPr>
                <w:rFonts w:hint="eastAsia"/>
              </w:rPr>
              <w:t>阶段</w:t>
            </w:r>
          </w:p>
        </w:tc>
        <w:tc>
          <w:tcPr>
            <w:tcW w:w="4819" w:type="dxa"/>
            <w:tcBorders>
              <w:top w:val="single" w:color="auto" w:sz="8" w:space="0"/>
              <w:bottom w:val="single" w:color="auto" w:sz="8" w:space="0"/>
            </w:tcBorders>
          </w:tcPr>
          <w:p w14:paraId="69ACB72A">
            <w:pPr>
              <w:pStyle w:val="80"/>
            </w:pPr>
            <w:r>
              <w:rPr>
                <w:rFonts w:hint="eastAsia"/>
              </w:rPr>
              <w:t>包含子过程</w:t>
            </w:r>
          </w:p>
        </w:tc>
        <w:tc>
          <w:tcPr>
            <w:tcW w:w="1993" w:type="dxa"/>
            <w:tcBorders>
              <w:top w:val="single" w:color="auto" w:sz="8" w:space="0"/>
              <w:bottom w:val="single" w:color="auto" w:sz="8" w:space="0"/>
            </w:tcBorders>
          </w:tcPr>
          <w:p w14:paraId="21FBB681">
            <w:pPr>
              <w:pStyle w:val="80"/>
            </w:pPr>
            <w:r>
              <w:rPr>
                <w:rFonts w:hint="eastAsia"/>
              </w:rPr>
              <w:t>排除项</w:t>
            </w:r>
          </w:p>
        </w:tc>
      </w:tr>
      <w:tr w14:paraId="564FAD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62" w:type="dxa"/>
            <w:tcBorders>
              <w:top w:val="single" w:color="auto" w:sz="8" w:space="0"/>
            </w:tcBorders>
          </w:tcPr>
          <w:p w14:paraId="057C62D1">
            <w:pPr>
              <w:pStyle w:val="80"/>
            </w:pPr>
            <w:r>
              <w:rPr>
                <w:rFonts w:hint="eastAsia"/>
              </w:rPr>
              <w:t>原辅料和能源获取</w:t>
            </w:r>
          </w:p>
        </w:tc>
        <w:tc>
          <w:tcPr>
            <w:tcW w:w="4819" w:type="dxa"/>
            <w:tcBorders>
              <w:top w:val="single" w:color="auto" w:sz="8" w:space="0"/>
            </w:tcBorders>
          </w:tcPr>
          <w:p w14:paraId="0FE790B8">
            <w:pPr>
              <w:pStyle w:val="80"/>
            </w:pPr>
            <w:r>
              <w:rPr>
                <w:rFonts w:hint="eastAsia"/>
              </w:rPr>
              <w:t>钒矿开采、</w:t>
            </w:r>
            <w:r>
              <w:t>V</w:t>
            </w:r>
            <w:r>
              <w:rPr>
                <w:rFonts w:ascii="Cambria Math" w:hAnsi="Cambria Math" w:cs="Cambria Math"/>
              </w:rPr>
              <w:t>₂</w:t>
            </w:r>
            <w:r>
              <w:t>O</w:t>
            </w:r>
            <w:r>
              <w:rPr>
                <w:rFonts w:ascii="Cambria Math" w:hAnsi="Cambria Math" w:cs="Cambria Math"/>
              </w:rPr>
              <w:t>₅</w:t>
            </w:r>
            <w:r>
              <w:rPr>
                <w:rFonts w:hint="eastAsia"/>
              </w:rPr>
              <w:t>冶炼、硫酸生产、容器制造、电力</w:t>
            </w:r>
            <w:r>
              <w:t>/</w:t>
            </w:r>
            <w:r>
              <w:rPr>
                <w:rFonts w:hint="eastAsia"/>
              </w:rPr>
              <w:t>蒸汽生产</w:t>
            </w:r>
          </w:p>
        </w:tc>
        <w:tc>
          <w:tcPr>
            <w:tcW w:w="1993" w:type="dxa"/>
            <w:tcBorders>
              <w:top w:val="single" w:color="auto" w:sz="8" w:space="0"/>
            </w:tcBorders>
          </w:tcPr>
          <w:p w14:paraId="41A79D70">
            <w:pPr>
              <w:pStyle w:val="80"/>
            </w:pPr>
            <w:r>
              <w:rPr>
                <w:rFonts w:hint="eastAsia"/>
              </w:rPr>
              <w:t>无</w:t>
            </w:r>
          </w:p>
        </w:tc>
      </w:tr>
      <w:tr w14:paraId="13952B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62" w:type="dxa"/>
          </w:tcPr>
          <w:p w14:paraId="49B368DF">
            <w:pPr>
              <w:pStyle w:val="80"/>
            </w:pPr>
            <w:r>
              <w:rPr>
                <w:rFonts w:hint="eastAsia"/>
              </w:rPr>
              <w:t>生产阶段</w:t>
            </w:r>
          </w:p>
        </w:tc>
        <w:tc>
          <w:tcPr>
            <w:tcW w:w="4819" w:type="dxa"/>
          </w:tcPr>
          <w:p w14:paraId="02CAFE78">
            <w:pPr>
              <w:pStyle w:val="80"/>
            </w:pPr>
            <w:r>
              <w:rPr>
                <w:rFonts w:hint="eastAsia"/>
              </w:rPr>
              <w:t>溶液配制→离子纯化→pH调节→浓度校准+厂内物料转运</w:t>
            </w:r>
          </w:p>
        </w:tc>
        <w:tc>
          <w:tcPr>
            <w:tcW w:w="1993" w:type="dxa"/>
          </w:tcPr>
          <w:p w14:paraId="4090F1B3">
            <w:pPr>
              <w:pStyle w:val="80"/>
            </w:pPr>
            <w:r>
              <w:rPr>
                <w:rFonts w:hint="eastAsia"/>
              </w:rPr>
              <w:t>厂房建设</w:t>
            </w:r>
          </w:p>
        </w:tc>
      </w:tr>
      <w:tr w14:paraId="764E7A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62" w:type="dxa"/>
          </w:tcPr>
          <w:p w14:paraId="5CA0BBEE">
            <w:pPr>
              <w:pStyle w:val="80"/>
            </w:pPr>
            <w:r>
              <w:rPr>
                <w:rFonts w:hint="eastAsia"/>
              </w:rPr>
              <w:t>厂内外运输</w:t>
            </w:r>
          </w:p>
        </w:tc>
        <w:tc>
          <w:tcPr>
            <w:tcW w:w="4819" w:type="dxa"/>
          </w:tcPr>
          <w:p w14:paraId="1D567420">
            <w:pPr>
              <w:pStyle w:val="80"/>
            </w:pPr>
            <w:r>
              <w:rPr>
                <w:rFonts w:hint="eastAsia"/>
              </w:rPr>
              <w:t>原料进厂（公路/铁路）+ 成品短驳至仓库</w:t>
            </w:r>
          </w:p>
        </w:tc>
        <w:tc>
          <w:tcPr>
            <w:tcW w:w="1993" w:type="dxa"/>
          </w:tcPr>
          <w:p w14:paraId="18B1C13A">
            <w:pPr>
              <w:pStyle w:val="80"/>
            </w:pPr>
            <w:r>
              <w:rPr>
                <w:rFonts w:hint="eastAsia"/>
              </w:rPr>
              <w:t>产品分销长途运输</w:t>
            </w:r>
          </w:p>
        </w:tc>
      </w:tr>
    </w:tbl>
    <w:p w14:paraId="19BF172D">
      <w:pPr>
        <w:adjustRightInd w:val="0"/>
        <w:snapToGrid w:val="0"/>
        <w:spacing w:after="0" w:line="276" w:lineRule="auto"/>
        <w:jc w:val="left"/>
        <w:rPr>
          <w:rFonts w:hint="eastAsia" w:ascii="仿宋_GB2312" w:hAnsi="新宋体" w:eastAsia="仿宋_GB2312"/>
          <w:b/>
          <w:sz w:val="28"/>
          <w:szCs w:val="28"/>
        </w:rPr>
      </w:pPr>
    </w:p>
    <w:p w14:paraId="31B35A2B">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4 数据计算</w:t>
      </w:r>
    </w:p>
    <w:p w14:paraId="5B5F6559">
      <w:pPr>
        <w:pStyle w:val="27"/>
        <w:ind w:firstLine="560"/>
        <w:rPr>
          <w:rFonts w:hint="eastAsia" w:ascii="仿宋_GB2312" w:hAnsi="宋体" w:eastAsia="仿宋_GB2312"/>
          <w:kern w:val="2"/>
          <w:sz w:val="28"/>
          <w:szCs w:val="28"/>
        </w:rPr>
      </w:pPr>
      <w:r>
        <w:rPr>
          <w:rFonts w:hint="eastAsia" w:ascii="仿宋_GB2312" w:hAnsi="宋体" w:eastAsia="仿宋_GB2312"/>
          <w:kern w:val="2"/>
          <w:sz w:val="28"/>
          <w:szCs w:val="28"/>
        </w:rPr>
        <w:t>根据收集到的活动数据和排放因子数据，按照相应的计算公式将活动数据转换为温室气体排放量。对于涉及多种温室气体排放的情况，应根据各种温室气体的全球变暖潜势（GWP）将其换算为二氧化碳当量进行汇总计算。计算公式如下：</w:t>
      </w:r>
    </w:p>
    <w:p w14:paraId="75BFF865">
      <w:pPr>
        <w:pStyle w:val="64"/>
        <w:ind w:firstLine="360"/>
        <w:rPr>
          <w:rFonts w:hint="eastAsia" w:ascii="仿宋_GB2312" w:eastAsia="仿宋_GB2312"/>
          <w:sz w:val="28"/>
          <w:szCs w:val="28"/>
        </w:rPr>
      </w:pPr>
      <w:r>
        <w:rPr>
          <w:rFonts w:hint="eastAsia" w:ascii="仿宋_GB2312" w:eastAsia="仿宋_GB2312"/>
          <w:sz w:val="28"/>
          <w:szCs w:val="28"/>
        </w:rPr>
        <w:tab/>
      </w:r>
      <m:oMath>
        <m:sSub>
          <m:sSubPr>
            <m:ctrlPr>
              <w:rPr>
                <w:rFonts w:ascii="Cambria Math" w:hAnsi="Cambria Math" w:eastAsia="仿宋_GB2312"/>
                <w:sz w:val="28"/>
                <w:szCs w:val="28"/>
              </w:rPr>
            </m:ctrlPr>
          </m:sSubPr>
          <m:e>
            <m:r>
              <m:rPr/>
              <w:rPr>
                <w:rFonts w:ascii="Cambria Math" w:hAnsi="Cambria Math" w:eastAsia="仿宋_GB2312"/>
                <w:sz w:val="28"/>
                <w:szCs w:val="28"/>
              </w:rPr>
              <m:t>E</m:t>
            </m:r>
            <m:ctrlPr>
              <w:rPr>
                <w:rFonts w:ascii="Cambria Math" w:hAnsi="Cambria Math" w:eastAsia="仿宋_GB2312"/>
                <w:sz w:val="28"/>
                <w:szCs w:val="28"/>
              </w:rPr>
            </m:ctrlPr>
          </m:e>
          <m:sub>
            <m:sSub>
              <m:sSubPr>
                <m:ctrlPr>
                  <w:rPr>
                    <w:rFonts w:ascii="Cambria Math" w:hAnsi="Cambria Math" w:eastAsia="仿宋_GB2312"/>
                    <w:sz w:val="28"/>
                    <w:szCs w:val="28"/>
                  </w:rPr>
                </m:ctrlPr>
              </m:sSubPr>
              <m:e>
                <m:r>
                  <m:rPr/>
                  <w:rPr>
                    <w:rFonts w:ascii="Cambria Math" w:hAnsi="Cambria Math" w:eastAsia="仿宋_GB2312"/>
                    <w:sz w:val="28"/>
                    <w:szCs w:val="28"/>
                  </w:rPr>
                  <m:t>CO</m:t>
                </m:r>
                <m:ctrlPr>
                  <w:rPr>
                    <w:rFonts w:ascii="Cambria Math" w:hAnsi="Cambria Math" w:eastAsia="仿宋_GB2312"/>
                    <w:sz w:val="28"/>
                    <w:szCs w:val="28"/>
                  </w:rPr>
                </m:ctrlPr>
              </m:e>
              <m:sub>
                <m:r>
                  <m:rPr>
                    <m:sty m:val="p"/>
                  </m:rPr>
                  <w:rPr>
                    <w:rFonts w:ascii="Cambria Math" w:hAnsi="Cambria Math" w:eastAsia="仿宋_GB2312"/>
                    <w:sz w:val="28"/>
                    <w:szCs w:val="28"/>
                  </w:rPr>
                  <m:t>2</m:t>
                </m:r>
                <m:ctrlPr>
                  <w:rPr>
                    <w:rFonts w:ascii="Cambria Math" w:hAnsi="Cambria Math" w:eastAsia="仿宋_GB2312"/>
                    <w:sz w:val="28"/>
                    <w:szCs w:val="28"/>
                  </w:rPr>
                </m:ctrlPr>
              </m:sub>
            </m:sSub>
            <m:r>
              <m:rPr/>
              <w:rPr>
                <w:rFonts w:hint="eastAsia" w:ascii="Cambria Math" w:hAnsi="Cambria Math" w:eastAsia="仿宋_GB2312"/>
                <w:sz w:val="28"/>
                <w:szCs w:val="28"/>
              </w:rPr>
              <m:t>e</m:t>
            </m:r>
            <m:ctrlPr>
              <w:rPr>
                <w:rFonts w:ascii="Cambria Math" w:hAnsi="Cambria Math" w:eastAsia="仿宋_GB2312"/>
                <w:sz w:val="28"/>
                <w:szCs w:val="28"/>
              </w:rPr>
            </m:ctrlPr>
          </m:sub>
        </m:sSub>
        <m:r>
          <m:rPr>
            <m:sty m:val="p"/>
          </m:rPr>
          <w:rPr>
            <w:rFonts w:hint="eastAsia" w:ascii="Cambria Math" w:hAnsi="Cambria Math" w:eastAsia="仿宋_GB2312"/>
            <w:sz w:val="28"/>
            <w:szCs w:val="28"/>
          </w:rPr>
          <m:t>=</m:t>
        </m:r>
        <m:nary>
          <m:naryPr>
            <m:chr m:val="∑"/>
            <m:limLoc m:val="undOvr"/>
            <m:ctrlPr>
              <w:rPr>
                <w:rFonts w:ascii="Cambria Math" w:hAnsi="Cambria Math" w:eastAsia="仿宋_GB2312"/>
                <w:sz w:val="28"/>
                <w:szCs w:val="28"/>
              </w:rPr>
            </m:ctrlPr>
          </m:naryPr>
          <m:sub>
            <m:r>
              <m:rPr/>
              <w:rPr>
                <w:rFonts w:ascii="Cambria Math" w:hAnsi="Cambria Math" w:eastAsia="仿宋_GB2312"/>
                <w:sz w:val="28"/>
                <w:szCs w:val="28"/>
              </w:rPr>
              <m:t>i</m:t>
            </m:r>
            <m:r>
              <m:rPr>
                <m:sty m:val="p"/>
              </m:rPr>
              <w:rPr>
                <w:rFonts w:ascii="Cambria Math" w:hAnsi="Cambria Math" w:eastAsia="仿宋_GB2312"/>
                <w:sz w:val="28"/>
                <w:szCs w:val="28"/>
              </w:rPr>
              <m:t>=1</m:t>
            </m:r>
            <m:ctrlPr>
              <w:rPr>
                <w:rFonts w:ascii="Cambria Math" w:hAnsi="Cambria Math" w:eastAsia="仿宋_GB2312"/>
                <w:sz w:val="28"/>
                <w:szCs w:val="28"/>
              </w:rPr>
            </m:ctrlPr>
          </m:sub>
          <m:sup>
            <m:r>
              <m:rPr/>
              <w:rPr>
                <w:rFonts w:hint="eastAsia" w:ascii="Cambria Math" w:hAnsi="Cambria Math" w:eastAsia="仿宋_GB2312"/>
                <w:sz w:val="28"/>
                <w:szCs w:val="28"/>
              </w:rPr>
              <m:t>n</m:t>
            </m:r>
            <m:ctrlPr>
              <w:rPr>
                <w:rFonts w:ascii="Cambria Math" w:hAnsi="Cambria Math" w:eastAsia="仿宋_GB2312"/>
                <w:sz w:val="28"/>
                <w:szCs w:val="28"/>
              </w:rPr>
            </m:ctrlPr>
          </m:sup>
          <m:e>
            <m:r>
              <m:rPr>
                <m:sty m:val="p"/>
              </m:rPr>
              <w:rPr>
                <w:rFonts w:ascii="Cambria Math" w:hAnsi="Cambria Math" w:eastAsia="仿宋_GB2312"/>
                <w:sz w:val="28"/>
                <w:szCs w:val="28"/>
              </w:rPr>
              <m:t>(</m:t>
            </m:r>
            <m:sSub>
              <m:sSubPr>
                <m:ctrlPr>
                  <w:rPr>
                    <w:rFonts w:ascii="Cambria Math" w:hAnsi="Cambria Math" w:eastAsia="仿宋_GB2312"/>
                    <w:sz w:val="28"/>
                    <w:szCs w:val="28"/>
                  </w:rPr>
                </m:ctrlPr>
              </m:sSubPr>
              <m:e>
                <m:r>
                  <m:rPr/>
                  <w:rPr>
                    <w:rFonts w:ascii="Cambria Math" w:hAnsi="Cambria Math" w:eastAsia="仿宋_GB2312"/>
                    <w:sz w:val="28"/>
                    <w:szCs w:val="28"/>
                  </w:rPr>
                  <m:t>A</m:t>
                </m:r>
                <m:ctrlPr>
                  <w:rPr>
                    <w:rFonts w:ascii="Cambria Math" w:hAnsi="Cambria Math" w:eastAsia="仿宋_GB2312"/>
                    <w:sz w:val="28"/>
                    <w:szCs w:val="28"/>
                  </w:rPr>
                </m:ctrlPr>
              </m:e>
              <m:sub>
                <m:r>
                  <m:rPr/>
                  <w:rPr>
                    <w:rFonts w:ascii="Cambria Math" w:hAnsi="Cambria Math" w:eastAsia="仿宋_GB2312"/>
                    <w:sz w:val="28"/>
                    <w:szCs w:val="28"/>
                  </w:rPr>
                  <m:t>i</m:t>
                </m:r>
                <m:ctrlPr>
                  <w:rPr>
                    <w:rFonts w:ascii="Cambria Math" w:hAnsi="Cambria Math" w:eastAsia="仿宋_GB2312"/>
                    <w:sz w:val="28"/>
                    <w:szCs w:val="28"/>
                  </w:rPr>
                </m:ctrlPr>
              </m:sub>
            </m:sSub>
            <m:r>
              <m:rPr>
                <m:sty m:val="p"/>
              </m:rPr>
              <w:rPr>
                <w:rFonts w:ascii="Cambria Math" w:hAnsi="Cambria Math" w:eastAsia="仿宋_GB2312"/>
                <w:sz w:val="28"/>
                <w:szCs w:val="28"/>
              </w:rPr>
              <m:t>×</m:t>
            </m:r>
            <m:r>
              <m:rPr/>
              <w:rPr>
                <w:rFonts w:ascii="Cambria Math" w:hAnsi="Cambria Math" w:eastAsia="仿宋_GB2312"/>
                <w:sz w:val="28"/>
                <w:szCs w:val="28"/>
              </w:rPr>
              <m:t>E</m:t>
            </m:r>
            <m:sSub>
              <m:sSubPr>
                <m:ctrlPr>
                  <w:rPr>
                    <w:rFonts w:ascii="Cambria Math" w:hAnsi="Cambria Math" w:eastAsia="仿宋_GB2312"/>
                    <w:sz w:val="28"/>
                    <w:szCs w:val="28"/>
                  </w:rPr>
                </m:ctrlPr>
              </m:sSubPr>
              <m:e>
                <m:r>
                  <m:rPr/>
                  <w:rPr>
                    <w:rFonts w:ascii="Cambria Math" w:hAnsi="Cambria Math" w:eastAsia="仿宋_GB2312"/>
                    <w:sz w:val="28"/>
                    <w:szCs w:val="28"/>
                  </w:rPr>
                  <m:t>F</m:t>
                </m:r>
                <m:ctrlPr>
                  <w:rPr>
                    <w:rFonts w:ascii="Cambria Math" w:hAnsi="Cambria Math" w:eastAsia="仿宋_GB2312"/>
                    <w:sz w:val="28"/>
                    <w:szCs w:val="28"/>
                  </w:rPr>
                </m:ctrlPr>
              </m:e>
              <m:sub>
                <m:r>
                  <m:rPr/>
                  <w:rPr>
                    <w:rFonts w:ascii="Cambria Math" w:hAnsi="Cambria Math" w:eastAsia="仿宋_GB2312"/>
                    <w:sz w:val="28"/>
                    <w:szCs w:val="28"/>
                  </w:rPr>
                  <m:t>i</m:t>
                </m:r>
                <m:ctrlPr>
                  <w:rPr>
                    <w:rFonts w:ascii="Cambria Math" w:hAnsi="Cambria Math" w:eastAsia="仿宋_GB2312"/>
                    <w:sz w:val="28"/>
                    <w:szCs w:val="28"/>
                  </w:rPr>
                </m:ctrlPr>
              </m:sub>
            </m:sSub>
            <m:r>
              <m:rPr>
                <m:sty m:val="p"/>
              </m:rPr>
              <w:rPr>
                <w:rFonts w:ascii="Cambria Math" w:hAnsi="Cambria Math" w:eastAsia="仿宋_GB2312"/>
                <w:sz w:val="28"/>
                <w:szCs w:val="28"/>
              </w:rPr>
              <m:t>×</m:t>
            </m:r>
            <m:r>
              <m:rPr/>
              <w:rPr>
                <w:rFonts w:ascii="Cambria Math" w:hAnsi="Cambria Math" w:eastAsia="仿宋_GB2312"/>
                <w:sz w:val="28"/>
                <w:szCs w:val="28"/>
              </w:rPr>
              <m:t>GW</m:t>
            </m:r>
            <m:sSub>
              <m:sSubPr>
                <m:ctrlPr>
                  <w:rPr>
                    <w:rFonts w:ascii="Cambria Math" w:hAnsi="Cambria Math" w:eastAsia="仿宋_GB2312"/>
                    <w:sz w:val="28"/>
                    <w:szCs w:val="28"/>
                  </w:rPr>
                </m:ctrlPr>
              </m:sSubPr>
              <m:e>
                <m:r>
                  <m:rPr/>
                  <w:rPr>
                    <w:rFonts w:ascii="Cambria Math" w:hAnsi="Cambria Math" w:eastAsia="仿宋_GB2312"/>
                    <w:sz w:val="28"/>
                    <w:szCs w:val="28"/>
                  </w:rPr>
                  <m:t>P</m:t>
                </m:r>
                <m:ctrlPr>
                  <w:rPr>
                    <w:rFonts w:ascii="Cambria Math" w:hAnsi="Cambria Math" w:eastAsia="仿宋_GB2312"/>
                    <w:sz w:val="28"/>
                    <w:szCs w:val="28"/>
                  </w:rPr>
                </m:ctrlPr>
              </m:e>
              <m:sub>
                <m:r>
                  <m:rPr/>
                  <w:rPr>
                    <w:rFonts w:ascii="Cambria Math" w:hAnsi="Cambria Math" w:eastAsia="仿宋_GB2312"/>
                    <w:sz w:val="28"/>
                    <w:szCs w:val="28"/>
                  </w:rPr>
                  <m:t>i</m:t>
                </m:r>
                <m:ctrlPr>
                  <w:rPr>
                    <w:rFonts w:ascii="Cambria Math" w:hAnsi="Cambria Math" w:eastAsia="仿宋_GB2312"/>
                    <w:sz w:val="28"/>
                    <w:szCs w:val="28"/>
                  </w:rPr>
                </m:ctrlPr>
              </m:sub>
            </m:sSub>
            <m:ctrlPr>
              <w:rPr>
                <w:rFonts w:ascii="Cambria Math" w:hAnsi="Cambria Math" w:eastAsia="仿宋_GB2312"/>
                <w:sz w:val="28"/>
                <w:szCs w:val="28"/>
              </w:rPr>
            </m:ctrlPr>
          </m:e>
        </m:nary>
        <m:r>
          <m:rPr>
            <m:sty m:val="p"/>
          </m:rPr>
          <w:rPr>
            <w:rFonts w:ascii="Cambria Math" w:hAnsi="Cambria Math" w:eastAsia="仿宋_GB2312"/>
            <w:sz w:val="28"/>
            <w:szCs w:val="28"/>
          </w:rPr>
          <m:t>)</m:t>
        </m:r>
      </m:oMath>
      <w:r>
        <w:rPr>
          <w:rFonts w:hint="eastAsia" w:ascii="仿宋_GB2312" w:eastAsia="仿宋_GB2312"/>
          <w:sz w:val="28"/>
          <w:szCs w:val="28"/>
        </w:rPr>
        <w:tab/>
      </w:r>
      <w:r>
        <w:rPr>
          <w:rFonts w:ascii="仿宋_GB2312" w:eastAsia="仿宋_GB2312"/>
          <w:sz w:val="28"/>
          <w:szCs w:val="28"/>
        </w:rPr>
        <w:t>(</w:t>
      </w:r>
      <w:r>
        <w:rPr>
          <w:rFonts w:ascii="仿宋_GB2312" w:eastAsia="仿宋_GB2312"/>
          <w:sz w:val="28"/>
          <w:szCs w:val="28"/>
        </w:rPr>
        <w:fldChar w:fldCharType="begin"/>
      </w:r>
      <w:r>
        <w:rPr>
          <w:rFonts w:ascii="仿宋_GB2312" w:eastAsia="仿宋_GB2312"/>
          <w:sz w:val="28"/>
          <w:szCs w:val="28"/>
        </w:rPr>
        <w:instrText xml:space="preserve"> AUTONUM </w:instrText>
      </w:r>
      <w:r>
        <w:rPr>
          <w:rFonts w:ascii="仿宋_GB2312" w:eastAsia="仿宋_GB2312"/>
          <w:sz w:val="28"/>
          <w:szCs w:val="28"/>
        </w:rPr>
        <w:fldChar w:fldCharType="end"/>
      </w:r>
      <w:r>
        <w:rPr>
          <w:rFonts w:ascii="仿宋_GB2312" w:eastAsia="仿宋_GB2312"/>
          <w:sz w:val="28"/>
          <w:szCs w:val="28"/>
        </w:rPr>
        <w:t>)</w:t>
      </w:r>
    </w:p>
    <w:p w14:paraId="60A93E90">
      <w:pPr>
        <w:pStyle w:val="27"/>
        <w:ind w:firstLine="560"/>
        <w:rPr>
          <w:rFonts w:hint="eastAsia" w:ascii="仿宋_GB2312" w:hAnsi="宋体" w:eastAsia="仿宋_GB2312"/>
          <w:kern w:val="2"/>
          <w:sz w:val="28"/>
          <w:szCs w:val="28"/>
        </w:rPr>
      </w:pPr>
      <w:r>
        <w:rPr>
          <w:rFonts w:hint="eastAsia" w:ascii="仿宋_GB2312" w:hAnsi="宋体" w:eastAsia="仿宋_GB2312"/>
          <w:kern w:val="2"/>
          <w:sz w:val="28"/>
          <w:szCs w:val="28"/>
        </w:rPr>
        <w:t>式中：</w:t>
      </w:r>
    </w:p>
    <w:p w14:paraId="57D20E86">
      <w:pPr>
        <w:pStyle w:val="27"/>
        <w:ind w:firstLine="560"/>
        <w:rPr>
          <w:rFonts w:hint="eastAsia" w:ascii="仿宋_GB2312" w:hAnsi="宋体" w:eastAsia="仿宋_GB2312"/>
          <w:kern w:val="2"/>
          <w:sz w:val="28"/>
          <w:szCs w:val="28"/>
        </w:rPr>
      </w:pPr>
      <m:oMath>
        <m:sSub>
          <m:sSubPr>
            <m:ctrlPr>
              <w:rPr>
                <w:rFonts w:ascii="Cambria Math" w:hAnsi="Cambria Math" w:eastAsia="仿宋_GB2312"/>
                <w:kern w:val="2"/>
                <w:sz w:val="28"/>
                <w:szCs w:val="28"/>
              </w:rPr>
            </m:ctrlPr>
          </m:sSubPr>
          <m:e>
            <m:r>
              <m:rPr/>
              <w:rPr>
                <w:rFonts w:ascii="Cambria Math" w:hAnsi="Cambria Math" w:eastAsia="仿宋_GB2312"/>
                <w:kern w:val="2"/>
                <w:sz w:val="28"/>
                <w:szCs w:val="28"/>
              </w:rPr>
              <m:t>E</m:t>
            </m:r>
            <m:ctrlPr>
              <w:rPr>
                <w:rFonts w:ascii="Cambria Math" w:hAnsi="Cambria Math" w:eastAsia="仿宋_GB2312"/>
                <w:kern w:val="2"/>
                <w:sz w:val="28"/>
                <w:szCs w:val="28"/>
              </w:rPr>
            </m:ctrlPr>
          </m:e>
          <m:sub>
            <m:sSub>
              <m:sSubPr>
                <m:ctrlPr>
                  <w:rPr>
                    <w:rFonts w:ascii="Cambria Math" w:hAnsi="Cambria Math" w:eastAsia="仿宋_GB2312"/>
                    <w:kern w:val="2"/>
                    <w:sz w:val="28"/>
                    <w:szCs w:val="28"/>
                  </w:rPr>
                </m:ctrlPr>
              </m:sSubPr>
              <m:e>
                <m:r>
                  <m:rPr/>
                  <w:rPr>
                    <w:rFonts w:ascii="Cambria Math" w:hAnsi="Cambria Math" w:eastAsia="仿宋_GB2312"/>
                    <w:kern w:val="2"/>
                    <w:sz w:val="28"/>
                    <w:szCs w:val="28"/>
                  </w:rPr>
                  <m:t>CO</m:t>
                </m:r>
                <m:ctrlPr>
                  <w:rPr>
                    <w:rFonts w:ascii="Cambria Math" w:hAnsi="Cambria Math" w:eastAsia="仿宋_GB2312"/>
                    <w:kern w:val="2"/>
                    <w:sz w:val="28"/>
                    <w:szCs w:val="28"/>
                  </w:rPr>
                </m:ctrlPr>
              </m:e>
              <m:sub>
                <m:r>
                  <m:rPr>
                    <m:sty m:val="p"/>
                  </m:rPr>
                  <w:rPr>
                    <w:rFonts w:ascii="Cambria Math" w:hAnsi="Cambria Math" w:eastAsia="仿宋_GB2312"/>
                    <w:kern w:val="2"/>
                    <w:sz w:val="28"/>
                    <w:szCs w:val="28"/>
                  </w:rPr>
                  <m:t>2</m:t>
                </m:r>
                <m:ctrlPr>
                  <w:rPr>
                    <w:rFonts w:ascii="Cambria Math" w:hAnsi="Cambria Math" w:eastAsia="仿宋_GB2312"/>
                    <w:kern w:val="2"/>
                    <w:sz w:val="28"/>
                    <w:szCs w:val="28"/>
                  </w:rPr>
                </m:ctrlPr>
              </m:sub>
            </m:sSub>
            <m:r>
              <m:rPr/>
              <w:rPr>
                <w:rFonts w:hint="eastAsia" w:ascii="Cambria Math" w:hAnsi="Cambria Math" w:eastAsia="仿宋_GB2312"/>
                <w:kern w:val="2"/>
                <w:sz w:val="28"/>
                <w:szCs w:val="28"/>
              </w:rPr>
              <m:t>e</m:t>
            </m:r>
            <m:ctrlPr>
              <w:rPr>
                <w:rFonts w:ascii="Cambria Math" w:hAnsi="Cambria Math" w:eastAsia="仿宋_GB2312"/>
                <w:kern w:val="2"/>
                <w:sz w:val="28"/>
                <w:szCs w:val="28"/>
              </w:rPr>
            </m:ctrlPr>
          </m:sub>
        </m:sSub>
      </m:oMath>
      <w:r>
        <w:rPr>
          <w:rFonts w:hint="eastAsia" w:ascii="仿宋_GB2312" w:hAnsi="宋体" w:eastAsia="仿宋_GB2312"/>
          <w:kern w:val="2"/>
          <w:sz w:val="28"/>
          <w:szCs w:val="28"/>
        </w:rPr>
        <w:t xml:space="preserve"> -</w:t>
      </w:r>
      <w:r>
        <w:rPr>
          <w:rFonts w:ascii="仿宋_GB2312" w:hAnsi="宋体" w:eastAsia="仿宋_GB2312"/>
          <w:kern w:val="2"/>
          <w:sz w:val="28"/>
          <w:szCs w:val="28"/>
        </w:rPr>
        <w:t>二氧化碳当量排放量，单位为千克二氧化碳当量（kgCO</w:t>
      </w:r>
      <w:r>
        <w:rPr>
          <w:rFonts w:ascii="Cambria Math" w:hAnsi="Cambria Math" w:eastAsia="仿宋_GB2312" w:cs="Cambria Math"/>
          <w:kern w:val="2"/>
          <w:sz w:val="28"/>
          <w:szCs w:val="28"/>
        </w:rPr>
        <w:t>₂</w:t>
      </w:r>
      <w:r>
        <w:rPr>
          <w:rFonts w:ascii="仿宋_GB2312" w:hAnsi="宋体" w:eastAsia="仿宋_GB2312"/>
          <w:kern w:val="2"/>
          <w:sz w:val="28"/>
          <w:szCs w:val="28"/>
        </w:rPr>
        <w:t>e）；</w:t>
      </w:r>
      <w:r>
        <w:rPr>
          <w:rFonts w:ascii="Times New Roman" w:eastAsia="仿宋_GB2312"/>
          <w:kern w:val="2"/>
          <w:sz w:val="28"/>
          <w:szCs w:val="28"/>
        </w:rPr>
        <w:t>​</w:t>
      </w:r>
    </w:p>
    <w:p w14:paraId="30842052">
      <w:pPr>
        <w:pStyle w:val="27"/>
        <w:ind w:firstLine="560"/>
        <w:rPr>
          <w:rFonts w:hint="eastAsia" w:ascii="仿宋_GB2312" w:hAnsi="宋体" w:eastAsia="仿宋_GB2312"/>
          <w:kern w:val="2"/>
          <w:sz w:val="28"/>
          <w:szCs w:val="28"/>
        </w:rPr>
      </w:pPr>
      <m:oMath>
        <m:sSub>
          <m:sSubPr>
            <m:ctrlPr>
              <w:rPr>
                <w:rFonts w:ascii="Cambria Math" w:hAnsi="Cambria Math" w:eastAsia="仿宋_GB2312"/>
                <w:kern w:val="2"/>
                <w:sz w:val="28"/>
                <w:szCs w:val="28"/>
              </w:rPr>
            </m:ctrlPr>
          </m:sSubPr>
          <m:e>
            <m:r>
              <m:rPr/>
              <w:rPr>
                <w:rFonts w:ascii="Cambria Math" w:hAnsi="Cambria Math" w:eastAsia="仿宋_GB2312"/>
                <w:kern w:val="2"/>
                <w:sz w:val="28"/>
                <w:szCs w:val="28"/>
              </w:rPr>
              <m:t>A</m:t>
            </m:r>
            <m:ctrlPr>
              <w:rPr>
                <w:rFonts w:ascii="Cambria Math" w:hAnsi="Cambria Math" w:eastAsia="仿宋_GB2312"/>
                <w:kern w:val="2"/>
                <w:sz w:val="28"/>
                <w:szCs w:val="28"/>
              </w:rPr>
            </m:ctrlPr>
          </m:e>
          <m:sub>
            <m:r>
              <m:rPr/>
              <w:rPr>
                <w:rFonts w:ascii="Cambria Math" w:hAnsi="Cambria Math" w:eastAsia="仿宋_GB2312"/>
                <w:kern w:val="2"/>
                <w:sz w:val="28"/>
                <w:szCs w:val="28"/>
              </w:rPr>
              <m:t>i</m:t>
            </m:r>
            <m:ctrlPr>
              <w:rPr>
                <w:rFonts w:ascii="Cambria Math" w:hAnsi="Cambria Math" w:eastAsia="仿宋_GB2312"/>
                <w:kern w:val="2"/>
                <w:sz w:val="28"/>
                <w:szCs w:val="28"/>
              </w:rPr>
            </m:ctrlPr>
          </m:sub>
        </m:sSub>
      </m:oMath>
      <w:r>
        <w:rPr>
          <w:rFonts w:hint="eastAsia" w:ascii="仿宋_GB2312" w:hAnsi="宋体" w:eastAsia="仿宋_GB2312"/>
          <w:kern w:val="2"/>
          <w:sz w:val="28"/>
          <w:szCs w:val="28"/>
        </w:rPr>
        <w:t xml:space="preserve"> -</w:t>
      </w:r>
      <w:r>
        <w:rPr>
          <w:rFonts w:ascii="仿宋_GB2312" w:hAnsi="宋体" w:eastAsia="仿宋_GB2312"/>
          <w:kern w:val="2"/>
          <w:sz w:val="28"/>
          <w:szCs w:val="28"/>
        </w:rPr>
        <w:t>第i种活动的活动数据；</w:t>
      </w:r>
      <w:r>
        <w:rPr>
          <w:rFonts w:ascii="Times New Roman" w:eastAsia="仿宋_GB2312"/>
          <w:kern w:val="2"/>
          <w:sz w:val="28"/>
          <w:szCs w:val="28"/>
        </w:rPr>
        <w:t>​</w:t>
      </w:r>
    </w:p>
    <w:p w14:paraId="57D8A402">
      <w:pPr>
        <w:pStyle w:val="27"/>
        <w:ind w:firstLine="560"/>
        <w:rPr>
          <w:rFonts w:hint="eastAsia" w:ascii="仿宋_GB2312" w:hAnsi="宋体" w:eastAsia="仿宋_GB2312"/>
          <w:kern w:val="2"/>
          <w:sz w:val="28"/>
          <w:szCs w:val="28"/>
        </w:rPr>
      </w:pPr>
      <m:oMath>
        <m:r>
          <m:rPr/>
          <w:rPr>
            <w:rFonts w:ascii="Cambria Math" w:hAnsi="Cambria Math" w:eastAsia="仿宋_GB2312"/>
            <w:kern w:val="2"/>
            <w:sz w:val="28"/>
            <w:szCs w:val="28"/>
          </w:rPr>
          <m:t>E</m:t>
        </m:r>
        <m:sSub>
          <m:sSubPr>
            <m:ctrlPr>
              <w:rPr>
                <w:rFonts w:ascii="Cambria Math" w:hAnsi="Cambria Math" w:eastAsia="仿宋_GB2312"/>
                <w:kern w:val="2"/>
                <w:sz w:val="28"/>
                <w:szCs w:val="28"/>
              </w:rPr>
            </m:ctrlPr>
          </m:sSubPr>
          <m:e>
            <m:r>
              <m:rPr/>
              <w:rPr>
                <w:rFonts w:ascii="Cambria Math" w:hAnsi="Cambria Math" w:eastAsia="仿宋_GB2312"/>
                <w:kern w:val="2"/>
                <w:sz w:val="28"/>
                <w:szCs w:val="28"/>
              </w:rPr>
              <m:t>F</m:t>
            </m:r>
            <m:ctrlPr>
              <w:rPr>
                <w:rFonts w:ascii="Cambria Math" w:hAnsi="Cambria Math" w:eastAsia="仿宋_GB2312"/>
                <w:kern w:val="2"/>
                <w:sz w:val="28"/>
                <w:szCs w:val="28"/>
              </w:rPr>
            </m:ctrlPr>
          </m:e>
          <m:sub>
            <m:r>
              <m:rPr/>
              <w:rPr>
                <w:rFonts w:ascii="Cambria Math" w:hAnsi="Cambria Math" w:eastAsia="仿宋_GB2312"/>
                <w:kern w:val="2"/>
                <w:sz w:val="28"/>
                <w:szCs w:val="28"/>
              </w:rPr>
              <m:t>i</m:t>
            </m:r>
            <m:ctrlPr>
              <w:rPr>
                <w:rFonts w:ascii="Cambria Math" w:hAnsi="Cambria Math" w:eastAsia="仿宋_GB2312"/>
                <w:kern w:val="2"/>
                <w:sz w:val="28"/>
                <w:szCs w:val="28"/>
              </w:rPr>
            </m:ctrlPr>
          </m:sub>
        </m:sSub>
      </m:oMath>
      <w:r>
        <w:rPr>
          <w:rFonts w:hint="eastAsia" w:ascii="仿宋_GB2312" w:hAnsi="宋体" w:eastAsia="仿宋_GB2312"/>
          <w:kern w:val="2"/>
          <w:sz w:val="28"/>
          <w:szCs w:val="28"/>
        </w:rPr>
        <w:t xml:space="preserve"> -</w:t>
      </w:r>
      <w:r>
        <w:rPr>
          <w:rFonts w:ascii="仿宋_GB2312" w:hAnsi="宋体" w:eastAsia="仿宋_GB2312"/>
          <w:kern w:val="2"/>
          <w:sz w:val="28"/>
          <w:szCs w:val="28"/>
        </w:rPr>
        <w:t>第i种活动对应的温室气体排放因子；</w:t>
      </w:r>
      <w:r>
        <w:rPr>
          <w:rFonts w:ascii="Times New Roman" w:eastAsia="仿宋_GB2312"/>
          <w:kern w:val="2"/>
          <w:sz w:val="28"/>
          <w:szCs w:val="28"/>
        </w:rPr>
        <w:t>​</w:t>
      </w:r>
    </w:p>
    <w:p w14:paraId="2D18BFBD">
      <w:pPr>
        <w:pStyle w:val="27"/>
        <w:ind w:firstLine="560"/>
        <w:rPr>
          <w:rFonts w:hint="eastAsia" w:ascii="仿宋_GB2312" w:hAnsi="宋体" w:eastAsia="仿宋_GB2312"/>
          <w:kern w:val="2"/>
          <w:sz w:val="28"/>
          <w:szCs w:val="28"/>
        </w:rPr>
      </w:pPr>
      <m:oMath>
        <m:r>
          <m:rPr/>
          <w:rPr>
            <w:rFonts w:ascii="Cambria Math" w:hAnsi="Cambria Math" w:eastAsia="仿宋_GB2312"/>
            <w:kern w:val="2"/>
            <w:sz w:val="28"/>
            <w:szCs w:val="28"/>
          </w:rPr>
          <m:t>GW</m:t>
        </m:r>
        <m:sSub>
          <m:sSubPr>
            <m:ctrlPr>
              <w:rPr>
                <w:rFonts w:ascii="Cambria Math" w:hAnsi="Cambria Math" w:eastAsia="仿宋_GB2312"/>
                <w:kern w:val="2"/>
                <w:sz w:val="28"/>
                <w:szCs w:val="28"/>
              </w:rPr>
            </m:ctrlPr>
          </m:sSubPr>
          <m:e>
            <m:r>
              <m:rPr/>
              <w:rPr>
                <w:rFonts w:ascii="Cambria Math" w:hAnsi="Cambria Math" w:eastAsia="仿宋_GB2312"/>
                <w:kern w:val="2"/>
                <w:sz w:val="28"/>
                <w:szCs w:val="28"/>
              </w:rPr>
              <m:t>P</m:t>
            </m:r>
            <m:ctrlPr>
              <w:rPr>
                <w:rFonts w:ascii="Cambria Math" w:hAnsi="Cambria Math" w:eastAsia="仿宋_GB2312"/>
                <w:kern w:val="2"/>
                <w:sz w:val="28"/>
                <w:szCs w:val="28"/>
              </w:rPr>
            </m:ctrlPr>
          </m:e>
          <m:sub>
            <m:r>
              <m:rPr/>
              <w:rPr>
                <w:rFonts w:ascii="Cambria Math" w:hAnsi="Cambria Math" w:eastAsia="仿宋_GB2312"/>
                <w:kern w:val="2"/>
                <w:sz w:val="28"/>
                <w:szCs w:val="28"/>
              </w:rPr>
              <m:t>i</m:t>
            </m:r>
            <m:ctrlPr>
              <w:rPr>
                <w:rFonts w:ascii="Cambria Math" w:hAnsi="Cambria Math" w:eastAsia="仿宋_GB2312"/>
                <w:kern w:val="2"/>
                <w:sz w:val="28"/>
                <w:szCs w:val="28"/>
              </w:rPr>
            </m:ctrlPr>
          </m:sub>
        </m:sSub>
      </m:oMath>
      <w:r>
        <w:rPr>
          <w:rFonts w:hint="eastAsia" w:ascii="仿宋_GB2312" w:hAnsi="宋体" w:eastAsia="仿宋_GB2312"/>
          <w:kern w:val="2"/>
          <w:sz w:val="28"/>
          <w:szCs w:val="28"/>
        </w:rPr>
        <w:t xml:space="preserve"> -</w:t>
      </w:r>
      <w:r>
        <w:rPr>
          <w:rFonts w:ascii="仿宋_GB2312" w:hAnsi="宋体" w:eastAsia="仿宋_GB2312"/>
          <w:kern w:val="2"/>
          <w:sz w:val="28"/>
          <w:szCs w:val="28"/>
        </w:rPr>
        <w:t>第i种温室气体的全球变暖潜势。</w:t>
      </w:r>
    </w:p>
    <w:p w14:paraId="4E78741B">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5  核算方法</w:t>
      </w:r>
    </w:p>
    <w:p w14:paraId="4D2910CD">
      <w:pPr>
        <w:pStyle w:val="27"/>
        <w:ind w:firstLine="560"/>
        <w:rPr>
          <w:rFonts w:hint="eastAsia" w:ascii="仿宋_GB2312" w:hAnsi="宋体" w:eastAsia="仿宋_GB2312"/>
          <w:kern w:val="2"/>
          <w:sz w:val="28"/>
          <w:szCs w:val="28"/>
        </w:rPr>
      </w:pPr>
      <w:r>
        <w:rPr>
          <w:rFonts w:hint="eastAsia" w:ascii="仿宋_GB2312" w:hAnsi="宋体" w:eastAsia="仿宋_GB2312"/>
          <w:kern w:val="2"/>
          <w:sz w:val="28"/>
          <w:szCs w:val="28"/>
        </w:rPr>
        <w:t>产品碳足迹（PCF）的核算公式如下：</w:t>
      </w:r>
    </w:p>
    <w:p w14:paraId="3B765BB8">
      <w:pPr>
        <w:pStyle w:val="64"/>
        <w:ind w:firstLine="360"/>
        <w:rPr>
          <w:rFonts w:hint="eastAsia" w:ascii="仿宋_GB2312" w:eastAsia="仿宋_GB2312"/>
          <w:sz w:val="28"/>
          <w:szCs w:val="28"/>
        </w:rPr>
      </w:pPr>
      <w:r>
        <w:rPr>
          <w:rFonts w:hint="eastAsia"/>
        </w:rPr>
        <w:tab/>
      </w:r>
      <m:oMath>
        <m:r>
          <m:rPr/>
          <w:rPr>
            <w:rFonts w:ascii="Cambria Math" w:hAnsi="Cambria Math" w:eastAsia="仿宋_GB2312"/>
            <w:sz w:val="28"/>
            <w:szCs w:val="28"/>
          </w:rPr>
          <m:t>PCF</m:t>
        </m:r>
        <m:r>
          <m:rPr>
            <m:sty m:val="p"/>
          </m:rPr>
          <w:rPr>
            <w:rFonts w:ascii="Cambria Math" w:hAnsi="Cambria Math" w:eastAsia="仿宋_GB2312"/>
            <w:sz w:val="28"/>
            <w:szCs w:val="28"/>
          </w:rPr>
          <m:t>=</m:t>
        </m:r>
        <m:nary>
          <m:naryPr>
            <m:chr m:val="∑"/>
            <m:limLoc m:val="undOvr"/>
            <m:ctrlPr>
              <w:rPr>
                <w:rFonts w:ascii="Cambria Math" w:hAnsi="Cambria Math" w:eastAsia="仿宋_GB2312"/>
                <w:sz w:val="28"/>
                <w:szCs w:val="28"/>
              </w:rPr>
            </m:ctrlPr>
          </m:naryPr>
          <m:sub>
            <m:r>
              <m:rPr/>
              <w:rPr>
                <w:rFonts w:ascii="Cambria Math" w:hAnsi="Cambria Math" w:eastAsia="仿宋_GB2312"/>
                <w:sz w:val="28"/>
                <w:szCs w:val="28"/>
              </w:rPr>
              <m:t>j</m:t>
            </m:r>
            <m:r>
              <m:rPr>
                <m:sty m:val="p"/>
              </m:rPr>
              <w:rPr>
                <w:rFonts w:ascii="Cambria Math" w:hAnsi="Cambria Math" w:eastAsia="仿宋_GB2312"/>
                <w:sz w:val="28"/>
                <w:szCs w:val="28"/>
              </w:rPr>
              <m:t>=1</m:t>
            </m:r>
            <m:ctrlPr>
              <w:rPr>
                <w:rFonts w:ascii="Cambria Math" w:hAnsi="Cambria Math" w:eastAsia="仿宋_GB2312"/>
                <w:sz w:val="28"/>
                <w:szCs w:val="28"/>
              </w:rPr>
            </m:ctrlPr>
          </m:sub>
          <m:sup>
            <m:r>
              <m:rPr/>
              <w:rPr>
                <w:rFonts w:ascii="Cambria Math" w:hAnsi="Cambria Math" w:eastAsia="仿宋_GB2312"/>
                <w:sz w:val="28"/>
                <w:szCs w:val="28"/>
              </w:rPr>
              <m:t>m</m:t>
            </m:r>
            <m:ctrlPr>
              <w:rPr>
                <w:rFonts w:ascii="Cambria Math" w:hAnsi="Cambria Math" w:eastAsia="仿宋_GB2312"/>
                <w:sz w:val="28"/>
                <w:szCs w:val="28"/>
              </w:rPr>
            </m:ctrlPr>
          </m:sup>
          <m:e>
            <m:sSub>
              <m:sSubPr>
                <m:ctrlPr>
                  <w:rPr>
                    <w:rFonts w:ascii="Cambria Math" w:hAnsi="Cambria Math" w:eastAsia="仿宋_GB2312"/>
                    <w:sz w:val="28"/>
                    <w:szCs w:val="28"/>
                  </w:rPr>
                </m:ctrlPr>
              </m:sSubPr>
              <m:e>
                <m:r>
                  <m:rPr/>
                  <w:rPr>
                    <w:rFonts w:ascii="Cambria Math" w:hAnsi="Cambria Math" w:eastAsia="仿宋_GB2312"/>
                    <w:sz w:val="28"/>
                    <w:szCs w:val="28"/>
                  </w:rPr>
                  <m:t>E</m:t>
                </m:r>
                <m:ctrlPr>
                  <w:rPr>
                    <w:rFonts w:ascii="Cambria Math" w:hAnsi="Cambria Math" w:eastAsia="仿宋_GB2312"/>
                    <w:sz w:val="28"/>
                    <w:szCs w:val="28"/>
                  </w:rPr>
                </m:ctrlPr>
              </m:e>
              <m:sub>
                <m:r>
                  <m:rPr/>
                  <w:rPr>
                    <w:rFonts w:ascii="Cambria Math" w:hAnsi="Cambria Math" w:eastAsia="仿宋_GB2312"/>
                    <w:sz w:val="28"/>
                    <w:szCs w:val="28"/>
                  </w:rPr>
                  <m:t>j</m:t>
                </m:r>
                <m:ctrlPr>
                  <w:rPr>
                    <w:rFonts w:ascii="Cambria Math" w:hAnsi="Cambria Math" w:eastAsia="仿宋_GB2312"/>
                    <w:sz w:val="28"/>
                    <w:szCs w:val="28"/>
                  </w:rPr>
                </m:ctrlPr>
              </m:sub>
            </m:sSub>
            <m:ctrlPr>
              <w:rPr>
                <w:rFonts w:ascii="Cambria Math" w:hAnsi="Cambria Math" w:eastAsia="仿宋_GB2312"/>
                <w:sz w:val="28"/>
                <w:szCs w:val="28"/>
              </w:rPr>
            </m:ctrlPr>
          </m:e>
        </m:nary>
      </m:oMath>
      <w:r>
        <w:rPr>
          <w:rFonts w:hint="eastAsia" w:ascii="仿宋_GB2312" w:eastAsia="仿宋_GB2312"/>
          <w:sz w:val="28"/>
          <w:szCs w:val="28"/>
        </w:rPr>
        <w:tab/>
      </w:r>
      <w:r>
        <w:rPr>
          <w:rFonts w:ascii="仿宋_GB2312" w:eastAsia="仿宋_GB2312"/>
          <w:sz w:val="28"/>
          <w:szCs w:val="28"/>
        </w:rPr>
        <w:t>(</w:t>
      </w:r>
      <w:r>
        <w:rPr>
          <w:rFonts w:ascii="仿宋_GB2312" w:eastAsia="仿宋_GB2312"/>
          <w:sz w:val="28"/>
          <w:szCs w:val="28"/>
        </w:rPr>
        <w:fldChar w:fldCharType="begin"/>
      </w:r>
      <w:r>
        <w:rPr>
          <w:rFonts w:ascii="仿宋_GB2312" w:eastAsia="仿宋_GB2312"/>
          <w:sz w:val="28"/>
          <w:szCs w:val="28"/>
        </w:rPr>
        <w:instrText xml:space="preserve"> AUTONUM </w:instrText>
      </w:r>
      <w:r>
        <w:rPr>
          <w:rFonts w:ascii="仿宋_GB2312" w:eastAsia="仿宋_GB2312"/>
          <w:sz w:val="28"/>
          <w:szCs w:val="28"/>
        </w:rPr>
        <w:fldChar w:fldCharType="end"/>
      </w:r>
      <w:r>
        <w:rPr>
          <w:rFonts w:ascii="仿宋_GB2312" w:eastAsia="仿宋_GB2312"/>
          <w:sz w:val="28"/>
          <w:szCs w:val="28"/>
        </w:rPr>
        <w:t>)</w:t>
      </w:r>
    </w:p>
    <w:p w14:paraId="46A9741D">
      <w:pPr>
        <w:pStyle w:val="65"/>
        <w:ind w:left="5250" w:firstLine="560"/>
        <w:rPr>
          <w:rFonts w:hint="eastAsia" w:ascii="仿宋_GB2312" w:hAnsi="宋体" w:eastAsia="仿宋_GB2312"/>
          <w:kern w:val="2"/>
          <w:sz w:val="28"/>
          <w:szCs w:val="28"/>
        </w:rPr>
      </w:pPr>
      <w:r>
        <w:rPr>
          <w:rFonts w:hint="eastAsia" w:ascii="仿宋_GB2312" w:hAnsi="宋体" w:eastAsia="仿宋_GB2312"/>
          <w:kern w:val="2"/>
          <w:sz w:val="28"/>
          <w:szCs w:val="28"/>
        </w:rPr>
        <w:t>式中：</w:t>
      </w:r>
    </w:p>
    <w:p w14:paraId="6DD8674E">
      <w:pPr>
        <w:pStyle w:val="27"/>
        <w:ind w:firstLine="560"/>
        <w:rPr>
          <w:rFonts w:hint="eastAsia" w:ascii="仿宋_GB2312" w:hAnsi="宋体" w:eastAsia="仿宋_GB2312"/>
          <w:kern w:val="2"/>
          <w:sz w:val="28"/>
          <w:szCs w:val="28"/>
        </w:rPr>
      </w:pPr>
      <m:oMath>
        <m:r>
          <m:rPr/>
          <w:rPr>
            <w:rFonts w:ascii="Cambria Math" w:hAnsi="Cambria Math" w:eastAsia="仿宋_GB2312"/>
            <w:kern w:val="2"/>
            <w:sz w:val="28"/>
            <w:szCs w:val="28"/>
          </w:rPr>
          <m:t>PCF</m:t>
        </m:r>
      </m:oMath>
      <w:r>
        <w:rPr>
          <w:rFonts w:hint="eastAsia" w:ascii="仿宋_GB2312" w:hAnsi="宋体" w:eastAsia="仿宋_GB2312"/>
          <w:kern w:val="2"/>
          <w:sz w:val="28"/>
          <w:szCs w:val="28"/>
        </w:rPr>
        <w:t xml:space="preserve"> -</w:t>
      </w:r>
      <w:r>
        <w:rPr>
          <w:rFonts w:ascii="仿宋_GB2312" w:hAnsi="宋体" w:eastAsia="仿宋_GB2312"/>
          <w:kern w:val="2"/>
          <w:sz w:val="28"/>
          <w:szCs w:val="28"/>
        </w:rPr>
        <w:t>产品碳足迹，单位为千克二氧化碳当量（kgCO</w:t>
      </w:r>
      <w:r>
        <w:rPr>
          <w:rFonts w:ascii="Cambria Math" w:hAnsi="Cambria Math" w:eastAsia="仿宋_GB2312" w:cs="Cambria Math"/>
          <w:kern w:val="2"/>
          <w:sz w:val="28"/>
          <w:szCs w:val="28"/>
        </w:rPr>
        <w:t>₂</w:t>
      </w:r>
      <w:r>
        <w:rPr>
          <w:rFonts w:ascii="仿宋_GB2312" w:hAnsi="宋体" w:eastAsia="仿宋_GB2312"/>
          <w:kern w:val="2"/>
          <w:sz w:val="28"/>
          <w:szCs w:val="28"/>
        </w:rPr>
        <w:t>e）；</w:t>
      </w:r>
      <w:r>
        <w:rPr>
          <w:rFonts w:ascii="Times New Roman" w:eastAsia="仿宋_GB2312"/>
          <w:kern w:val="2"/>
          <w:sz w:val="28"/>
          <w:szCs w:val="28"/>
        </w:rPr>
        <w:t>​</w:t>
      </w:r>
    </w:p>
    <w:p w14:paraId="22001552">
      <w:pPr>
        <w:pStyle w:val="27"/>
        <w:ind w:firstLine="560"/>
        <w:rPr>
          <w:rFonts w:hint="eastAsia" w:ascii="仿宋_GB2312" w:hAnsi="宋体" w:eastAsia="仿宋_GB2312"/>
          <w:kern w:val="2"/>
          <w:sz w:val="28"/>
          <w:szCs w:val="28"/>
        </w:rPr>
      </w:pPr>
      <m:oMath>
        <m:sSub>
          <m:sSubPr>
            <m:ctrlPr>
              <w:rPr>
                <w:rFonts w:ascii="Cambria Math" w:hAnsi="Cambria Math" w:eastAsia="仿宋_GB2312"/>
                <w:kern w:val="2"/>
                <w:sz w:val="28"/>
                <w:szCs w:val="28"/>
              </w:rPr>
            </m:ctrlPr>
          </m:sSubPr>
          <m:e>
            <m:r>
              <m:rPr/>
              <w:rPr>
                <w:rFonts w:ascii="Cambria Math" w:hAnsi="Cambria Math" w:eastAsia="仿宋_GB2312"/>
                <w:kern w:val="2"/>
                <w:sz w:val="28"/>
                <w:szCs w:val="28"/>
              </w:rPr>
              <m:t>E</m:t>
            </m:r>
            <m:ctrlPr>
              <w:rPr>
                <w:rFonts w:ascii="Cambria Math" w:hAnsi="Cambria Math" w:eastAsia="仿宋_GB2312"/>
                <w:kern w:val="2"/>
                <w:sz w:val="28"/>
                <w:szCs w:val="28"/>
              </w:rPr>
            </m:ctrlPr>
          </m:e>
          <m:sub>
            <m:r>
              <m:rPr/>
              <w:rPr>
                <w:rFonts w:ascii="Cambria Math" w:hAnsi="Cambria Math" w:eastAsia="仿宋_GB2312"/>
                <w:kern w:val="2"/>
                <w:sz w:val="28"/>
                <w:szCs w:val="28"/>
              </w:rPr>
              <m:t>j</m:t>
            </m:r>
            <m:ctrlPr>
              <w:rPr>
                <w:rFonts w:ascii="Cambria Math" w:hAnsi="Cambria Math" w:eastAsia="仿宋_GB2312"/>
                <w:kern w:val="2"/>
                <w:sz w:val="28"/>
                <w:szCs w:val="28"/>
              </w:rPr>
            </m:ctrlPr>
          </m:sub>
        </m:sSub>
      </m:oMath>
      <w:r>
        <w:rPr>
          <w:rFonts w:hint="eastAsia" w:ascii="仿宋_GB2312" w:hAnsi="宋体" w:eastAsia="仿宋_GB2312"/>
          <w:kern w:val="2"/>
          <w:sz w:val="28"/>
          <w:szCs w:val="28"/>
        </w:rPr>
        <w:t xml:space="preserve"> -</w:t>
      </w:r>
      <w:r>
        <w:rPr>
          <w:rFonts w:ascii="仿宋_GB2312" w:hAnsi="宋体" w:eastAsia="仿宋_GB2312"/>
          <w:kern w:val="2"/>
          <w:sz w:val="28"/>
          <w:szCs w:val="28"/>
        </w:rPr>
        <w:t>第j个单元过程的温室气体排放量，单位为千克二氧化碳当量（kgCO</w:t>
      </w:r>
      <w:r>
        <w:rPr>
          <w:rFonts w:ascii="Cambria Math" w:hAnsi="Cambria Math" w:eastAsia="仿宋_GB2312" w:cs="Cambria Math"/>
          <w:kern w:val="2"/>
          <w:sz w:val="28"/>
          <w:szCs w:val="28"/>
        </w:rPr>
        <w:t>₂</w:t>
      </w:r>
      <w:r>
        <w:rPr>
          <w:rFonts w:ascii="仿宋_GB2312" w:hAnsi="宋体" w:eastAsia="仿宋_GB2312"/>
          <w:kern w:val="2"/>
          <w:sz w:val="28"/>
          <w:szCs w:val="28"/>
        </w:rPr>
        <w:t>e）；</w:t>
      </w:r>
      <w:r>
        <w:rPr>
          <w:rFonts w:ascii="Times New Roman" w:eastAsia="仿宋_GB2312"/>
          <w:kern w:val="2"/>
          <w:sz w:val="28"/>
          <w:szCs w:val="28"/>
        </w:rPr>
        <w:t>​</w:t>
      </w:r>
    </w:p>
    <w:p w14:paraId="783EB989">
      <w:pPr>
        <w:pStyle w:val="27"/>
        <w:ind w:firstLine="560"/>
        <w:rPr>
          <w:rFonts w:hint="eastAsia" w:ascii="仿宋_GB2312" w:hAnsi="宋体" w:eastAsia="仿宋_GB2312"/>
          <w:kern w:val="2"/>
          <w:sz w:val="28"/>
          <w:szCs w:val="28"/>
        </w:rPr>
      </w:pPr>
      <m:oMath>
        <m:r>
          <m:rPr/>
          <w:rPr>
            <w:rFonts w:hint="eastAsia" w:ascii="Cambria Math" w:hAnsi="Cambria Math" w:eastAsia="仿宋_GB2312"/>
            <w:kern w:val="2"/>
            <w:sz w:val="28"/>
            <w:szCs w:val="28"/>
          </w:rPr>
          <m:t>m</m:t>
        </m:r>
      </m:oMath>
      <w:r>
        <w:rPr>
          <w:rFonts w:hint="eastAsia" w:ascii="仿宋_GB2312" w:hAnsi="宋体" w:eastAsia="仿宋_GB2312"/>
          <w:kern w:val="2"/>
          <w:sz w:val="28"/>
          <w:szCs w:val="28"/>
        </w:rPr>
        <w:t xml:space="preserve"> -</w:t>
      </w:r>
      <w:r>
        <w:rPr>
          <w:rFonts w:ascii="仿宋_GB2312" w:hAnsi="宋体" w:eastAsia="仿宋_GB2312"/>
          <w:kern w:val="2"/>
          <w:sz w:val="28"/>
          <w:szCs w:val="28"/>
        </w:rPr>
        <w:t>系统边界内单元过程的总数。</w:t>
      </w:r>
    </w:p>
    <w:p w14:paraId="41AD0B50">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 xml:space="preserve">6 </w:t>
      </w:r>
      <w:bookmarkStart w:id="12" w:name="_Hlk198068204"/>
      <w:r>
        <w:rPr>
          <w:rFonts w:hint="eastAsia" w:ascii="仿宋_GB2312" w:hAnsi="新宋体" w:eastAsia="仿宋_GB2312"/>
          <w:b/>
          <w:sz w:val="28"/>
          <w:szCs w:val="28"/>
        </w:rPr>
        <w:t xml:space="preserve"> 系统边界示例</w:t>
      </w:r>
    </w:p>
    <w:p w14:paraId="2697DD3F">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以辽宁某企业年产1000吨全钒液流电池电解液为例：</w:t>
      </w:r>
    </w:p>
    <w:p w14:paraId="41A032FB">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6.1 系统边界</w:t>
      </w:r>
    </w:p>
    <w:p w14:paraId="0D449389">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原辅料及能源动力获取阶段：包含钒矿石（产自朝阳钒矿）开采、硫酸（产自大连化工厂）生产、电力（辽宁电网供电）获取等环节。</w:t>
      </w:r>
    </w:p>
    <w:p w14:paraId="1ADC94FC">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生产阶段：涵盖钒电解液溶解、反应、提纯、混合等生产工序的能耗与排放。</w:t>
      </w:r>
    </w:p>
    <w:p w14:paraId="1B4C5374">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厂内外运输阶段：包括钒矿石从朝阳运输至沈阳工厂（公路运输200 公里）、硫酸从大连运输至沈阳工厂（水路运输300公里+公路运输100 公里）、成品电解液运输至客户仓库（公路运输150公里）。</w:t>
      </w:r>
    </w:p>
    <w:p w14:paraId="21672AF1">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6.2 排除内容</w:t>
      </w:r>
    </w:p>
    <w:p w14:paraId="79E22AE3">
      <w:pPr>
        <w:pStyle w:val="32"/>
        <w:numPr>
          <w:ilvl w:val="0"/>
          <w:numId w:val="18"/>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厂房和生产设备的生产制造过程碳排放；</w:t>
      </w:r>
    </w:p>
    <w:p w14:paraId="7494350E">
      <w:pPr>
        <w:pStyle w:val="32"/>
        <w:numPr>
          <w:ilvl w:val="0"/>
          <w:numId w:val="18"/>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厂区内宿舍、食堂等生活配套设施的碳排放；</w:t>
      </w:r>
    </w:p>
    <w:p w14:paraId="74C45E2E">
      <w:pPr>
        <w:pStyle w:val="32"/>
        <w:numPr>
          <w:ilvl w:val="0"/>
          <w:numId w:val="18"/>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生产设备维修耗材（单项贡献＜1%）。</w:t>
      </w:r>
    </w:p>
    <w:p w14:paraId="2C5E13E8">
      <w:pPr>
        <w:pStyle w:val="32"/>
        <w:numPr>
          <w:ilvl w:val="0"/>
          <w:numId w:val="0"/>
        </w:numPr>
        <w:spacing w:line="240" w:lineRule="auto"/>
        <w:rPr>
          <w:rFonts w:hint="eastAsia" w:ascii="仿宋_GB2312" w:hAnsi="新宋体" w:eastAsia="仿宋_GB2312"/>
          <w:b/>
          <w:kern w:val="2"/>
          <w:sz w:val="28"/>
          <w:szCs w:val="28"/>
        </w:rPr>
      </w:pPr>
      <w:r>
        <w:rPr>
          <w:rFonts w:hint="eastAsia" w:ascii="仿宋_GB2312" w:hAnsi="新宋体" w:eastAsia="仿宋_GB2312"/>
          <w:b/>
          <w:kern w:val="2"/>
          <w:sz w:val="28"/>
          <w:szCs w:val="28"/>
        </w:rPr>
        <w:t>7  数据收集与处理示例</w:t>
      </w:r>
    </w:p>
    <w:p w14:paraId="302E753D">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7.1 数据收集清单</w:t>
      </w:r>
    </w:p>
    <w:tbl>
      <w:tblPr>
        <w:tblStyle w:val="14"/>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3402"/>
        <w:gridCol w:w="3827"/>
      </w:tblGrid>
      <w:tr w14:paraId="4D03E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14:paraId="5A9DEED3">
            <w:pPr>
              <w:pStyle w:val="32"/>
              <w:numPr>
                <w:ilvl w:val="0"/>
                <w:numId w:val="0"/>
              </w:numPr>
              <w:spacing w:line="240" w:lineRule="auto"/>
              <w:ind w:left="0" w:firstLine="0"/>
              <w:jc w:val="center"/>
              <w:rPr>
                <w:rFonts w:hint="eastAsia" w:ascii="仿宋_GB2312" w:hAnsi="新宋体" w:eastAsia="仿宋_GB2312"/>
                <w:sz w:val="28"/>
                <w:szCs w:val="28"/>
              </w:rPr>
            </w:pPr>
            <w:r>
              <w:rPr>
                <w:rFonts w:hint="eastAsia" w:ascii="仿宋_GB2312" w:hAnsi="新宋体" w:eastAsia="仿宋_GB2312"/>
                <w:sz w:val="28"/>
                <w:szCs w:val="28"/>
              </w:rPr>
              <w:t>单元过程</w:t>
            </w:r>
          </w:p>
        </w:tc>
        <w:tc>
          <w:tcPr>
            <w:tcW w:w="3402" w:type="dxa"/>
          </w:tcPr>
          <w:p w14:paraId="77DFF78E">
            <w:pPr>
              <w:pStyle w:val="32"/>
              <w:numPr>
                <w:ilvl w:val="0"/>
                <w:numId w:val="0"/>
              </w:numPr>
              <w:spacing w:line="240" w:lineRule="auto"/>
              <w:ind w:left="0" w:firstLine="0"/>
              <w:jc w:val="center"/>
              <w:rPr>
                <w:rFonts w:hint="eastAsia" w:ascii="仿宋_GB2312" w:hAnsi="新宋体" w:eastAsia="仿宋_GB2312"/>
                <w:sz w:val="28"/>
                <w:szCs w:val="28"/>
              </w:rPr>
            </w:pPr>
            <w:r>
              <w:rPr>
                <w:rFonts w:hint="eastAsia" w:ascii="仿宋_GB2312" w:hAnsi="新宋体" w:eastAsia="仿宋_GB2312"/>
                <w:sz w:val="28"/>
                <w:szCs w:val="28"/>
              </w:rPr>
              <w:t>活动数据</w:t>
            </w:r>
          </w:p>
        </w:tc>
        <w:tc>
          <w:tcPr>
            <w:tcW w:w="3827" w:type="dxa"/>
          </w:tcPr>
          <w:p w14:paraId="6628F9CB">
            <w:pPr>
              <w:pStyle w:val="32"/>
              <w:numPr>
                <w:ilvl w:val="0"/>
                <w:numId w:val="0"/>
              </w:numPr>
              <w:spacing w:line="240" w:lineRule="auto"/>
              <w:ind w:left="0" w:firstLine="0"/>
              <w:jc w:val="center"/>
              <w:rPr>
                <w:rFonts w:hint="eastAsia" w:ascii="仿宋_GB2312" w:hAnsi="新宋体" w:eastAsia="仿宋_GB2312"/>
                <w:sz w:val="28"/>
                <w:szCs w:val="28"/>
              </w:rPr>
            </w:pPr>
            <w:r>
              <w:rPr>
                <w:rFonts w:hint="eastAsia" w:ascii="仿宋_GB2312" w:hAnsi="新宋体" w:eastAsia="仿宋_GB2312"/>
                <w:sz w:val="28"/>
                <w:szCs w:val="28"/>
              </w:rPr>
              <w:t>排放因子来源</w:t>
            </w:r>
          </w:p>
        </w:tc>
      </w:tr>
      <w:tr w14:paraId="555D5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14:paraId="28CE1C78">
            <w:pPr>
              <w:pStyle w:val="32"/>
              <w:numPr>
                <w:ilvl w:val="0"/>
                <w:numId w:val="0"/>
              </w:numPr>
              <w:spacing w:line="240" w:lineRule="auto"/>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钒矿石开采</w:t>
            </w:r>
          </w:p>
        </w:tc>
        <w:tc>
          <w:tcPr>
            <w:tcW w:w="3402" w:type="dxa"/>
          </w:tcPr>
          <w:p w14:paraId="0626EB1C">
            <w:pPr>
              <w:pStyle w:val="32"/>
              <w:numPr>
                <w:ilvl w:val="0"/>
                <w:numId w:val="0"/>
              </w:numPr>
              <w:spacing w:line="240" w:lineRule="auto"/>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开采1吨钒矿石耗电18kWh</w:t>
            </w:r>
          </w:p>
        </w:tc>
        <w:tc>
          <w:tcPr>
            <w:tcW w:w="3827" w:type="dxa"/>
          </w:tcPr>
          <w:p w14:paraId="1E16378A">
            <w:pPr>
              <w:pStyle w:val="32"/>
              <w:numPr>
                <w:ilvl w:val="0"/>
                <w:numId w:val="0"/>
              </w:numPr>
              <w:spacing w:line="300" w:lineRule="exact"/>
              <w:ind w:left="0" w:firstLine="0"/>
              <w:jc w:val="center"/>
              <w:rPr>
                <w:rFonts w:hint="eastAsia" w:ascii="仿宋_GB2312" w:hAnsi="新宋体" w:eastAsia="仿宋_GB2312"/>
                <w:sz w:val="24"/>
                <w:szCs w:val="24"/>
                <w:highlight w:val="yellow"/>
              </w:rPr>
            </w:pPr>
            <w:r>
              <w:rPr>
                <w:rFonts w:hint="eastAsia" w:ascii="仿宋_GB2312" w:hAnsi="新宋体" w:eastAsia="仿宋_GB2312"/>
                <w:sz w:val="24"/>
                <w:szCs w:val="24"/>
              </w:rPr>
              <w:t>中国地质科学院《沉积型钒矿绿色开采技术指南》(2021) 第5.2节</w:t>
            </w:r>
          </w:p>
        </w:tc>
      </w:tr>
      <w:tr w14:paraId="63528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14:paraId="79B69E57">
            <w:pPr>
              <w:pStyle w:val="32"/>
              <w:numPr>
                <w:ilvl w:val="0"/>
                <w:numId w:val="0"/>
              </w:numPr>
              <w:spacing w:line="240" w:lineRule="auto"/>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硫酸生产</w:t>
            </w:r>
          </w:p>
        </w:tc>
        <w:tc>
          <w:tcPr>
            <w:tcW w:w="3402" w:type="dxa"/>
          </w:tcPr>
          <w:p w14:paraId="6DE56F5B">
            <w:pPr>
              <w:pStyle w:val="32"/>
              <w:numPr>
                <w:ilvl w:val="0"/>
                <w:numId w:val="0"/>
              </w:numPr>
              <w:spacing w:line="240" w:lineRule="auto"/>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生产1吨硫酸耗煤0.08吨</w:t>
            </w:r>
          </w:p>
        </w:tc>
        <w:tc>
          <w:tcPr>
            <w:tcW w:w="3827" w:type="dxa"/>
          </w:tcPr>
          <w:p w14:paraId="15EDEABA">
            <w:pPr>
              <w:pStyle w:val="32"/>
              <w:numPr>
                <w:ilvl w:val="0"/>
                <w:numId w:val="0"/>
              </w:numPr>
              <w:spacing w:line="300" w:lineRule="exact"/>
              <w:ind w:left="0" w:firstLine="0"/>
              <w:jc w:val="center"/>
              <w:rPr>
                <w:rFonts w:hint="eastAsia" w:ascii="仿宋_GB2312" w:hAnsi="新宋体" w:eastAsia="仿宋_GB2312"/>
                <w:sz w:val="24"/>
                <w:szCs w:val="24"/>
                <w:highlight w:val="yellow"/>
              </w:rPr>
            </w:pPr>
            <w:r>
              <w:rPr>
                <w:rFonts w:hint="eastAsia" w:ascii="仿宋_GB2312" w:hAnsi="新宋体" w:eastAsia="仿宋_GB2312"/>
                <w:sz w:val="24"/>
                <w:szCs w:val="24"/>
              </w:rPr>
              <w:t>《硫酸生产技术》(中国硫酸工业协会编著)</w:t>
            </w:r>
          </w:p>
        </w:tc>
      </w:tr>
      <w:tr w14:paraId="492B9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93" w:type="dxa"/>
          </w:tcPr>
          <w:p w14:paraId="711E8B2F">
            <w:pPr>
              <w:pStyle w:val="32"/>
              <w:numPr>
                <w:ilvl w:val="0"/>
                <w:numId w:val="0"/>
              </w:numPr>
              <w:spacing w:line="240" w:lineRule="auto"/>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生产用电</w:t>
            </w:r>
          </w:p>
        </w:tc>
        <w:tc>
          <w:tcPr>
            <w:tcW w:w="3402" w:type="dxa"/>
          </w:tcPr>
          <w:p w14:paraId="3BCE8D93">
            <w:pPr>
              <w:pStyle w:val="32"/>
              <w:numPr>
                <w:ilvl w:val="0"/>
                <w:numId w:val="0"/>
              </w:numPr>
              <w:spacing w:line="300" w:lineRule="exact"/>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生产</w:t>
            </w:r>
            <w:r>
              <w:rPr>
                <w:rFonts w:ascii="仿宋_GB2312" w:hAnsi="新宋体" w:eastAsia="仿宋_GB2312"/>
                <w:sz w:val="24"/>
                <w:szCs w:val="24"/>
              </w:rPr>
              <w:t>1</w:t>
            </w:r>
            <w:r>
              <w:rPr>
                <w:rFonts w:hint="eastAsia" w:ascii="仿宋_GB2312" w:hAnsi="新宋体" w:eastAsia="仿宋_GB2312"/>
                <w:sz w:val="24"/>
                <w:szCs w:val="24"/>
              </w:rPr>
              <w:t>吨电解液耗电4</w:t>
            </w:r>
            <w:r>
              <w:rPr>
                <w:rFonts w:ascii="仿宋_GB2312" w:hAnsi="新宋体" w:eastAsia="仿宋_GB2312"/>
                <w:sz w:val="24"/>
                <w:szCs w:val="24"/>
              </w:rPr>
              <w:t>500kWh</w:t>
            </w:r>
          </w:p>
        </w:tc>
        <w:tc>
          <w:tcPr>
            <w:tcW w:w="3827" w:type="dxa"/>
          </w:tcPr>
          <w:p w14:paraId="7E1A11D9">
            <w:pPr>
              <w:pStyle w:val="32"/>
              <w:numPr>
                <w:ilvl w:val="0"/>
                <w:numId w:val="0"/>
              </w:numPr>
              <w:spacing w:line="300" w:lineRule="exact"/>
              <w:ind w:left="0" w:firstLine="0"/>
              <w:jc w:val="center"/>
              <w:rPr>
                <w:rFonts w:hint="eastAsia" w:ascii="仿宋_GB2312" w:hAnsi="新宋体" w:eastAsia="仿宋_GB2312"/>
                <w:sz w:val="24"/>
                <w:szCs w:val="24"/>
              </w:rPr>
            </w:pPr>
            <w:r>
              <w:rPr>
                <w:rFonts w:ascii="仿宋_GB2312" w:hAnsi="新宋体" w:eastAsia="仿宋_GB2312"/>
                <w:sz w:val="24"/>
                <w:szCs w:val="24"/>
              </w:rPr>
              <w:t>《钒电池技术手册》（2020</w:t>
            </w:r>
            <w:r>
              <w:rPr>
                <w:rFonts w:hint="eastAsia" w:ascii="仿宋_GB2312" w:hAnsi="新宋体" w:eastAsia="仿宋_GB2312"/>
                <w:sz w:val="24"/>
                <w:szCs w:val="24"/>
              </w:rPr>
              <w:t>）</w:t>
            </w:r>
          </w:p>
        </w:tc>
      </w:tr>
      <w:tr w14:paraId="34CB2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14:paraId="292699F3">
            <w:pPr>
              <w:pStyle w:val="32"/>
              <w:numPr>
                <w:ilvl w:val="0"/>
                <w:numId w:val="0"/>
              </w:numPr>
              <w:spacing w:line="240" w:lineRule="auto"/>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公路运输</w:t>
            </w:r>
          </w:p>
        </w:tc>
        <w:tc>
          <w:tcPr>
            <w:tcW w:w="3402" w:type="dxa"/>
          </w:tcPr>
          <w:p w14:paraId="48ECD7D8">
            <w:pPr>
              <w:pStyle w:val="32"/>
              <w:numPr>
                <w:ilvl w:val="0"/>
                <w:numId w:val="0"/>
              </w:numPr>
              <w:spacing w:line="240" w:lineRule="auto"/>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吨公里油耗0.02L</w:t>
            </w:r>
          </w:p>
        </w:tc>
        <w:tc>
          <w:tcPr>
            <w:tcW w:w="3827" w:type="dxa"/>
          </w:tcPr>
          <w:p w14:paraId="412147C5">
            <w:pPr>
              <w:pStyle w:val="32"/>
              <w:numPr>
                <w:ilvl w:val="0"/>
                <w:numId w:val="0"/>
              </w:numPr>
              <w:spacing w:line="300" w:lineRule="exact"/>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《公路货运碳排放因子手册》</w:t>
            </w:r>
          </w:p>
        </w:tc>
      </w:tr>
      <w:tr w14:paraId="43979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14:paraId="701595BD">
            <w:pPr>
              <w:pStyle w:val="32"/>
              <w:numPr>
                <w:ilvl w:val="0"/>
                <w:numId w:val="0"/>
              </w:numPr>
              <w:spacing w:line="240" w:lineRule="auto"/>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水路运输</w:t>
            </w:r>
          </w:p>
        </w:tc>
        <w:tc>
          <w:tcPr>
            <w:tcW w:w="3402" w:type="dxa"/>
          </w:tcPr>
          <w:p w14:paraId="071E54EC">
            <w:pPr>
              <w:pStyle w:val="32"/>
              <w:numPr>
                <w:ilvl w:val="0"/>
                <w:numId w:val="0"/>
              </w:numPr>
              <w:spacing w:line="240" w:lineRule="auto"/>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吨公里油耗0.015L</w:t>
            </w:r>
          </w:p>
        </w:tc>
        <w:tc>
          <w:tcPr>
            <w:tcW w:w="3827" w:type="dxa"/>
          </w:tcPr>
          <w:p w14:paraId="31AC8C85">
            <w:pPr>
              <w:pStyle w:val="32"/>
              <w:numPr>
                <w:ilvl w:val="0"/>
                <w:numId w:val="0"/>
              </w:numPr>
              <w:spacing w:line="300" w:lineRule="exact"/>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《水路运输温室气体排放核算方法》</w:t>
            </w:r>
          </w:p>
        </w:tc>
      </w:tr>
    </w:tbl>
    <w:p w14:paraId="409B1D71">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7.2 数据质量特征</w:t>
      </w:r>
    </w:p>
    <w:p w14:paraId="19C545FB">
      <w:pPr>
        <w:pStyle w:val="32"/>
        <w:numPr>
          <w:ilvl w:val="0"/>
          <w:numId w:val="19"/>
        </w:numPr>
        <w:spacing w:line="240" w:lineRule="auto"/>
        <w:ind w:left="0" w:firstLine="442"/>
        <w:rPr>
          <w:rFonts w:hint="eastAsia" w:ascii="仿宋_GB2312" w:hAnsi="新宋体" w:eastAsia="仿宋_GB2312"/>
          <w:sz w:val="28"/>
          <w:szCs w:val="28"/>
        </w:rPr>
      </w:pPr>
      <w:r>
        <w:rPr>
          <w:rFonts w:hint="eastAsia" w:ascii="仿宋_GB2312" w:hAnsi="新宋体" w:eastAsia="仿宋_GB2312"/>
          <w:sz w:val="28"/>
          <w:szCs w:val="28"/>
        </w:rPr>
        <w:t>时间覆盖范围：2024 年全年生产数据；</w:t>
      </w:r>
    </w:p>
    <w:p w14:paraId="401A5E10">
      <w:pPr>
        <w:pStyle w:val="32"/>
        <w:numPr>
          <w:ilvl w:val="0"/>
          <w:numId w:val="19"/>
        </w:numPr>
        <w:spacing w:line="240" w:lineRule="auto"/>
        <w:ind w:left="0" w:firstLine="442"/>
        <w:rPr>
          <w:rFonts w:hint="eastAsia" w:ascii="仿宋_GB2312" w:hAnsi="新宋体" w:eastAsia="仿宋_GB2312"/>
          <w:sz w:val="28"/>
          <w:szCs w:val="28"/>
        </w:rPr>
      </w:pPr>
      <w:r>
        <w:rPr>
          <w:rFonts w:hint="eastAsia" w:ascii="仿宋_GB2312" w:hAnsi="新宋体" w:eastAsia="仿宋_GB2312"/>
          <w:sz w:val="28"/>
          <w:szCs w:val="28"/>
        </w:rPr>
        <w:t>地理覆盖范围：辽宁境内原辅料生产与运输；</w:t>
      </w:r>
    </w:p>
    <w:p w14:paraId="4E976846">
      <w:pPr>
        <w:pStyle w:val="32"/>
        <w:numPr>
          <w:ilvl w:val="0"/>
          <w:numId w:val="19"/>
        </w:numPr>
        <w:spacing w:line="240" w:lineRule="auto"/>
        <w:ind w:left="0" w:firstLine="442"/>
        <w:rPr>
          <w:rFonts w:hint="eastAsia" w:ascii="仿宋_GB2312" w:hAnsi="新宋体" w:eastAsia="仿宋_GB2312"/>
          <w:sz w:val="28"/>
          <w:szCs w:val="28"/>
        </w:rPr>
      </w:pPr>
      <w:r>
        <w:rPr>
          <w:rFonts w:hint="eastAsia" w:ascii="仿宋_GB2312" w:hAnsi="新宋体" w:eastAsia="仿宋_GB2312"/>
          <w:sz w:val="28"/>
          <w:szCs w:val="28"/>
        </w:rPr>
        <w:t>技术覆盖范围：钒矿石酸浸提炼技术、电解液提纯工艺；</w:t>
      </w:r>
    </w:p>
    <w:p w14:paraId="218824D1">
      <w:pPr>
        <w:pStyle w:val="32"/>
        <w:numPr>
          <w:ilvl w:val="0"/>
          <w:numId w:val="19"/>
        </w:numPr>
        <w:spacing w:line="240" w:lineRule="auto"/>
        <w:ind w:left="0" w:firstLine="442"/>
        <w:rPr>
          <w:rFonts w:hint="eastAsia" w:ascii="仿宋_GB2312" w:hAnsi="新宋体" w:eastAsia="仿宋_GB2312"/>
          <w:sz w:val="28"/>
          <w:szCs w:val="28"/>
        </w:rPr>
      </w:pPr>
      <w:r>
        <w:rPr>
          <w:rFonts w:hint="eastAsia" w:ascii="仿宋_GB2312" w:hAnsi="新宋体" w:eastAsia="仿宋_GB2312"/>
          <w:sz w:val="28"/>
          <w:szCs w:val="28"/>
        </w:rPr>
        <w:t>精度：关键数据（电力、主要原料）误差＜5%。</w:t>
      </w:r>
    </w:p>
    <w:p w14:paraId="7EF9222A">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7.3 取舍准则应用</w:t>
      </w:r>
    </w:p>
    <w:p w14:paraId="36A0A6F6">
      <w:pPr>
        <w:pStyle w:val="32"/>
        <w:numPr>
          <w:ilvl w:val="0"/>
          <w:numId w:val="20"/>
        </w:numPr>
        <w:spacing w:line="240" w:lineRule="auto"/>
        <w:ind w:left="0" w:firstLine="442"/>
        <w:rPr>
          <w:rFonts w:hint="eastAsia" w:ascii="仿宋_GB2312" w:hAnsi="新宋体" w:eastAsia="仿宋_GB2312"/>
          <w:sz w:val="28"/>
          <w:szCs w:val="28"/>
        </w:rPr>
      </w:pPr>
      <w:r>
        <w:rPr>
          <w:rFonts w:hint="eastAsia" w:ascii="仿宋_GB2312" w:hAnsi="新宋体" w:eastAsia="仿宋_GB2312"/>
          <w:sz w:val="28"/>
          <w:szCs w:val="28"/>
        </w:rPr>
        <w:t>生产设备润滑油消耗：单项贡献0.8%，忽略；</w:t>
      </w:r>
    </w:p>
    <w:p w14:paraId="4C31EF07">
      <w:pPr>
        <w:pStyle w:val="32"/>
        <w:numPr>
          <w:ilvl w:val="0"/>
          <w:numId w:val="20"/>
        </w:numPr>
        <w:spacing w:line="240" w:lineRule="auto"/>
        <w:ind w:left="0" w:firstLine="442"/>
        <w:rPr>
          <w:rFonts w:hint="eastAsia" w:ascii="仿宋_GB2312" w:hAnsi="新宋体" w:eastAsia="仿宋_GB2312"/>
          <w:sz w:val="28"/>
          <w:szCs w:val="28"/>
        </w:rPr>
      </w:pPr>
      <w:r>
        <w:rPr>
          <w:rFonts w:hint="eastAsia" w:ascii="仿宋_GB2312" w:hAnsi="新宋体" w:eastAsia="仿宋_GB2312"/>
          <w:sz w:val="28"/>
          <w:szCs w:val="28"/>
        </w:rPr>
        <w:t>办公区照明用电：占总排放1.2%，但属于生活设施，排除；</w:t>
      </w:r>
    </w:p>
    <w:p w14:paraId="32ABBA35">
      <w:pPr>
        <w:pStyle w:val="32"/>
        <w:numPr>
          <w:ilvl w:val="0"/>
          <w:numId w:val="20"/>
        </w:numPr>
        <w:spacing w:line="240" w:lineRule="auto"/>
        <w:ind w:left="0" w:firstLine="442"/>
        <w:rPr>
          <w:rFonts w:hint="eastAsia" w:ascii="仿宋_GB2312" w:hAnsi="新宋体" w:eastAsia="仿宋_GB2312"/>
          <w:sz w:val="28"/>
          <w:szCs w:val="28"/>
        </w:rPr>
      </w:pPr>
      <w:r>
        <w:rPr>
          <w:rFonts w:hint="eastAsia" w:ascii="仿宋_GB2312" w:hAnsi="新宋体" w:eastAsia="仿宋_GB2312"/>
          <w:sz w:val="28"/>
          <w:szCs w:val="28"/>
        </w:rPr>
        <w:t>所有忽略项总贡献3.5%，符合＜5% 的要求。</w:t>
      </w:r>
    </w:p>
    <w:p w14:paraId="011354DB">
      <w:pPr>
        <w:pStyle w:val="32"/>
        <w:numPr>
          <w:ilvl w:val="0"/>
          <w:numId w:val="0"/>
        </w:numPr>
        <w:spacing w:line="240" w:lineRule="auto"/>
        <w:rPr>
          <w:rFonts w:hint="eastAsia" w:ascii="仿宋_GB2312" w:hAnsi="新宋体" w:eastAsia="仿宋_GB2312"/>
          <w:b/>
          <w:kern w:val="2"/>
          <w:sz w:val="28"/>
          <w:szCs w:val="28"/>
        </w:rPr>
      </w:pPr>
      <w:r>
        <w:rPr>
          <w:rFonts w:hint="eastAsia" w:ascii="仿宋_GB2312" w:hAnsi="新宋体" w:eastAsia="仿宋_GB2312"/>
          <w:b/>
          <w:kern w:val="2"/>
          <w:sz w:val="28"/>
          <w:szCs w:val="28"/>
        </w:rPr>
        <w:t>8 核算公式应用示例</w:t>
      </w:r>
    </w:p>
    <w:p w14:paraId="642F2871">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8.1 二氧化碳当量计算</w:t>
      </w:r>
    </w:p>
    <w:p w14:paraId="5DAB019D">
      <w:pPr>
        <w:pStyle w:val="32"/>
        <w:numPr>
          <w:ilvl w:val="0"/>
          <w:numId w:val="0"/>
        </w:numPr>
        <w:spacing w:line="240" w:lineRule="auto"/>
        <w:jc w:val="center"/>
        <w:rPr>
          <w:rFonts w:hint="eastAsia" w:ascii="仿宋_GB2312" w:hAnsi="新宋体" w:eastAsia="仿宋_GB2312"/>
          <w:sz w:val="28"/>
          <w:szCs w:val="28"/>
        </w:rPr>
      </w:pPr>
      <m:oMathPara>
        <m:oMath>
          <m:sSub>
            <m:sSubPr>
              <m:ctrlPr>
                <w:rPr>
                  <w:rFonts w:ascii="Cambria Math" w:hAnsi="Cambria Math"/>
                  <w:i/>
                </w:rPr>
              </m:ctrlPr>
            </m:sSubPr>
            <m:e>
              <m:r>
                <m:rPr/>
                <w:rPr>
                  <w:rFonts w:ascii="Cambria Math" w:hAnsi="Cambria Math"/>
                </w:rPr>
                <m:t>E</m:t>
              </m:r>
              <m:ctrlPr>
                <w:rPr>
                  <w:rFonts w:ascii="Cambria Math" w:hAnsi="Cambria Math"/>
                  <w:i/>
                </w:rPr>
              </m:ctrlPr>
            </m:e>
            <m:sub>
              <m:sSub>
                <m:sSubPr>
                  <m:ctrlPr>
                    <w:rPr>
                      <w:rFonts w:ascii="Cambria Math" w:hAnsi="Cambria Math"/>
                      <w:i/>
                    </w:rPr>
                  </m:ctrlPr>
                </m:sSubPr>
                <m:e>
                  <m:r>
                    <m:rPr/>
                    <w:rPr>
                      <w:rFonts w:ascii="Cambria Math" w:hAnsi="Cambria Math"/>
                    </w:rPr>
                    <m:t>CO</m:t>
                  </m:r>
                  <m:ctrlPr>
                    <w:rPr>
                      <w:rFonts w:ascii="Cambria Math" w:hAnsi="Cambria Math"/>
                      <w:i/>
                    </w:rPr>
                  </m:ctrlPr>
                </m:e>
                <m:sub>
                  <m:r>
                    <m:rPr/>
                    <w:rPr>
                      <w:rFonts w:ascii="Cambria Math" w:hAnsi="Cambria Math"/>
                    </w:rPr>
                    <m:t>2</m:t>
                  </m:r>
                  <m:ctrlPr>
                    <w:rPr>
                      <w:rFonts w:ascii="Cambria Math" w:hAnsi="Cambria Math"/>
                      <w:i/>
                    </w:rPr>
                  </m:ctrlPr>
                </m:sub>
              </m:sSub>
              <m:r>
                <m:rPr/>
                <w:rPr>
                  <w:rFonts w:hint="eastAsia" w:ascii="Cambria Math" w:hAnsi="Cambria Math"/>
                </w:rPr>
                <m:t>e</m:t>
              </m:r>
              <m:ctrlPr>
                <w:rPr>
                  <w:rFonts w:ascii="Cambria Math" w:hAnsi="Cambria Math"/>
                  <w:i/>
                </w:rPr>
              </m:ctrlPr>
            </m:sub>
          </m:sSub>
          <m:r>
            <m:rPr/>
            <w:rPr>
              <w:rFonts w:hint="eastAsia" w:ascii="Cambria Math" w:hAnsi="Cambria Math"/>
            </w:rPr>
            <m:t>=</m:t>
          </m:r>
          <m:nary>
            <m:naryPr>
              <m:chr m:val="∑"/>
              <m:limLoc m:val="undOvr"/>
              <m:ctrlPr>
                <w:rPr>
                  <w:rFonts w:ascii="Cambria Math" w:hAnsi="Cambria Math"/>
                  <w:i/>
                </w:rPr>
              </m:ctrlPr>
            </m:naryPr>
            <m:sub>
              <m:r>
                <m:rPr/>
                <w:rPr>
                  <w:rFonts w:ascii="Cambria Math" w:hAnsi="Cambria Math"/>
                </w:rPr>
                <m:t>i=1</m:t>
              </m:r>
              <m:ctrlPr>
                <w:rPr>
                  <w:rFonts w:ascii="Cambria Math" w:hAnsi="Cambria Math"/>
                  <w:i/>
                </w:rPr>
              </m:ctrlPr>
            </m:sub>
            <m:sup>
              <m:r>
                <m:rPr/>
                <w:rPr>
                  <w:rFonts w:hint="eastAsia" w:ascii="Cambria Math" w:hAnsi="Cambria Math"/>
                </w:rPr>
                <m:t>n</m:t>
              </m:r>
              <m:ctrlPr>
                <w:rPr>
                  <w:rFonts w:ascii="Cambria Math" w:hAnsi="Cambria Math"/>
                  <w:i/>
                </w:rPr>
              </m:ctrlPr>
            </m:sup>
            <m:e>
              <m:r>
                <m:rPr/>
                <w:rPr>
                  <w:rFonts w:ascii="Cambria Math" w:hAnsi="Cambria Math"/>
                </w:rPr>
                <m:t>(</m:t>
              </m:r>
              <m:sSub>
                <m:sSubPr>
                  <m:ctrlPr>
                    <w:rPr>
                      <w:rFonts w:ascii="Cambria Math" w:hAnsi="Cambria Math"/>
                      <w:i/>
                    </w:rPr>
                  </m:ctrlPr>
                </m:sSubPr>
                <m:e>
                  <m:r>
                    <m:rPr/>
                    <w:rPr>
                      <w:rFonts w:ascii="Cambria Math" w:hAnsi="Cambria Math"/>
                    </w:rPr>
                    <m:t>A</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×E</m:t>
              </m:r>
              <m:sSub>
                <m:sSubPr>
                  <m:ctrlPr>
                    <w:rPr>
                      <w:rFonts w:ascii="Cambria Math" w:hAnsi="Cambria Math"/>
                      <w:i/>
                    </w:rPr>
                  </m:ctrlPr>
                </m:sSubPr>
                <m:e>
                  <m:r>
                    <m:rPr/>
                    <w:rPr>
                      <w:rFonts w:ascii="Cambria Math" w:hAnsi="Cambria Math"/>
                    </w:rPr>
                    <m:t>F</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×GW</m:t>
              </m:r>
              <m:sSub>
                <m:sSubPr>
                  <m:ctrlPr>
                    <w:rPr>
                      <w:rFonts w:ascii="Cambria Math" w:hAnsi="Cambria Math"/>
                      <w:i/>
                    </w:rPr>
                  </m:ctrlPr>
                </m:sSubPr>
                <m:e>
                  <m:r>
                    <m:rPr/>
                    <w:rPr>
                      <w:rFonts w:ascii="Cambria Math" w:hAnsi="Cambria Math"/>
                    </w:rPr>
                    <m:t>P</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nary>
          <m:r>
            <m:rPr/>
            <w:rPr>
              <w:rFonts w:ascii="Cambria Math" w:hAnsi="Cambria Math"/>
            </w:rPr>
            <m:t>)</m:t>
          </m:r>
        </m:oMath>
      </m:oMathPara>
    </w:p>
    <w:p w14:paraId="0469DCC0">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以1吨电解液生产为例：</w:t>
      </w:r>
    </w:p>
    <w:p w14:paraId="633338EA">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（1）钒矿石开采阶段</w:t>
      </w:r>
    </w:p>
    <w:p w14:paraId="3F1B4DF0">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耗电量：18kWh</w:t>
      </w:r>
    </w:p>
    <w:p w14:paraId="1589BD5E">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排放因子：</w:t>
      </w:r>
      <w:r>
        <w:rPr>
          <w:rFonts w:ascii="仿宋_GB2312" w:hAnsi="新宋体" w:eastAsia="仿宋_GB2312"/>
          <w:sz w:val="28"/>
          <w:szCs w:val="28"/>
        </w:rPr>
        <w:t>0.56kgCO</w:t>
      </w:r>
      <w:r>
        <w:rPr>
          <w:rFonts w:ascii="Cambria Math" w:hAnsi="Cambria Math" w:eastAsia="仿宋_GB2312" w:cs="Cambria Math"/>
          <w:sz w:val="28"/>
          <w:szCs w:val="28"/>
        </w:rPr>
        <w:t>₂</w:t>
      </w:r>
      <w:r>
        <w:rPr>
          <w:rFonts w:ascii="仿宋_GB2312" w:hAnsi="新宋体" w:eastAsia="仿宋_GB2312"/>
          <w:sz w:val="28"/>
          <w:szCs w:val="28"/>
        </w:rPr>
        <w:t>/kWh</w:t>
      </w:r>
      <w:r>
        <w:rPr>
          <w:rFonts w:hint="eastAsia" w:ascii="仿宋_GB2312" w:hAnsi="新宋体" w:eastAsia="仿宋_GB2312"/>
          <w:sz w:val="28"/>
          <w:szCs w:val="28"/>
        </w:rPr>
        <w:t>（来源：生态环境部发布</w:t>
      </w:r>
      <w:bookmarkStart w:id="13" w:name="_Hlk202878854"/>
      <w:r>
        <w:rPr>
          <w:rFonts w:hint="eastAsia" w:ascii="仿宋_GB2312" w:hAnsi="新宋体" w:eastAsia="仿宋_GB2312"/>
          <w:sz w:val="28"/>
          <w:szCs w:val="28"/>
        </w:rPr>
        <w:t>电力二氧化碳排放因子）</w:t>
      </w:r>
    </w:p>
    <w:bookmarkEnd w:id="13"/>
    <w:p w14:paraId="60327612">
      <w:pPr>
        <w:pStyle w:val="32"/>
        <w:numPr>
          <w:ilvl w:val="0"/>
          <w:numId w:val="0"/>
        </w:numPr>
        <w:spacing w:line="240" w:lineRule="auto"/>
        <w:ind w:firstLine="560" w:firstLineChars="200"/>
        <w:rPr>
          <w:rFonts w:hint="eastAsia" w:ascii="仿宋_GB2312" w:hAnsi="新宋体" w:eastAsia="仿宋_GB2312"/>
          <w:sz w:val="28"/>
          <w:szCs w:val="28"/>
        </w:rPr>
      </w:pPr>
      <w:r>
        <w:rPr>
          <w:rFonts w:ascii="仿宋_GB2312" w:hAnsi="新宋体" w:eastAsia="仿宋_GB2312"/>
          <w:sz w:val="28"/>
          <w:szCs w:val="28"/>
        </w:rPr>
        <w:t>GWP</w:t>
      </w:r>
      <w:r>
        <w:rPr>
          <w:rFonts w:hint="eastAsia" w:ascii="仿宋_GB2312" w:hAnsi="新宋体" w:eastAsia="仿宋_GB2312"/>
          <w:sz w:val="28"/>
          <w:szCs w:val="28"/>
        </w:rPr>
        <w:t>（</w:t>
      </w:r>
      <w:r>
        <w:rPr>
          <w:rFonts w:ascii="仿宋_GB2312" w:hAnsi="新宋体" w:eastAsia="仿宋_GB2312"/>
          <w:sz w:val="28"/>
          <w:szCs w:val="28"/>
        </w:rPr>
        <w:t>CO</w:t>
      </w:r>
      <w:r>
        <w:rPr>
          <w:rFonts w:ascii="Cambria Math" w:hAnsi="Cambria Math" w:eastAsia="仿宋_GB2312" w:cs="Cambria Math"/>
          <w:sz w:val="28"/>
          <w:szCs w:val="28"/>
        </w:rPr>
        <w:t>₂</w:t>
      </w:r>
      <w:r>
        <w:rPr>
          <w:rFonts w:hint="eastAsia" w:ascii="仿宋_GB2312" w:hAnsi="新宋体" w:eastAsia="仿宋_GB2312"/>
          <w:sz w:val="28"/>
          <w:szCs w:val="28"/>
        </w:rPr>
        <w:t>）：</w:t>
      </w:r>
      <w:r>
        <w:rPr>
          <w:rFonts w:ascii="仿宋_GB2312" w:hAnsi="新宋体" w:eastAsia="仿宋_GB2312"/>
          <w:sz w:val="28"/>
          <w:szCs w:val="28"/>
        </w:rPr>
        <w:t>1</w:t>
      </w:r>
    </w:p>
    <w:p w14:paraId="0AE86FDA">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排放量</w:t>
      </w:r>
      <w:r>
        <w:rPr>
          <w:rFonts w:ascii="仿宋_GB2312" w:hAnsi="新宋体" w:eastAsia="仿宋_GB2312"/>
          <w:sz w:val="28"/>
          <w:szCs w:val="28"/>
        </w:rPr>
        <w:t>=</w:t>
      </w:r>
      <w:r>
        <w:rPr>
          <w:rFonts w:hint="eastAsia" w:ascii="仿宋_GB2312" w:hAnsi="新宋体" w:eastAsia="仿宋_GB2312"/>
          <w:sz w:val="28"/>
          <w:szCs w:val="28"/>
        </w:rPr>
        <w:t>18</w:t>
      </w:r>
      <w:r>
        <w:rPr>
          <w:rFonts w:ascii="仿宋_GB2312" w:hAnsi="新宋体" w:eastAsia="仿宋_GB2312"/>
          <w:sz w:val="28"/>
          <w:szCs w:val="28"/>
        </w:rPr>
        <w:t xml:space="preserve">×0.56×1 = </w:t>
      </w:r>
      <w:r>
        <w:rPr>
          <w:rFonts w:hint="eastAsia" w:ascii="仿宋_GB2312" w:hAnsi="新宋体" w:eastAsia="仿宋_GB2312"/>
          <w:sz w:val="28"/>
          <w:szCs w:val="28"/>
        </w:rPr>
        <w:t>10.08</w:t>
      </w:r>
      <w:r>
        <w:rPr>
          <w:rFonts w:ascii="仿宋_GB2312" w:hAnsi="新宋体" w:eastAsia="仿宋_GB2312"/>
          <w:sz w:val="28"/>
          <w:szCs w:val="28"/>
        </w:rPr>
        <w:t>kgCO</w:t>
      </w:r>
      <w:r>
        <w:rPr>
          <w:rFonts w:ascii="Cambria Math" w:hAnsi="Cambria Math" w:eastAsia="仿宋_GB2312" w:cs="Cambria Math"/>
          <w:sz w:val="28"/>
          <w:szCs w:val="28"/>
        </w:rPr>
        <w:t>₂</w:t>
      </w:r>
      <w:r>
        <w:rPr>
          <w:rFonts w:ascii="仿宋_GB2312" w:hAnsi="新宋体" w:eastAsia="仿宋_GB2312"/>
          <w:sz w:val="28"/>
          <w:szCs w:val="28"/>
        </w:rPr>
        <w:t>e</w:t>
      </w:r>
    </w:p>
    <w:p w14:paraId="1217B379">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（2）硫酸生产阶段</w:t>
      </w:r>
    </w:p>
    <w:p w14:paraId="324CE20E">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耗煤量：0.08吨</w:t>
      </w:r>
    </w:p>
    <w:p w14:paraId="4A88F64C">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煤炭排放因子：</w:t>
      </w:r>
      <w:r>
        <w:rPr>
          <w:rFonts w:ascii="仿宋_GB2312" w:hAnsi="新宋体" w:eastAsia="仿宋_GB2312"/>
          <w:sz w:val="28"/>
          <w:szCs w:val="28"/>
        </w:rPr>
        <w:t>2.66kgCO</w:t>
      </w:r>
      <w:r>
        <w:rPr>
          <w:rFonts w:ascii="Cambria Math" w:hAnsi="Cambria Math" w:eastAsia="仿宋_GB2312" w:cs="Cambria Math"/>
          <w:sz w:val="28"/>
          <w:szCs w:val="28"/>
        </w:rPr>
        <w:t>₂</w:t>
      </w:r>
      <w:r>
        <w:rPr>
          <w:rFonts w:ascii="仿宋_GB2312" w:hAnsi="新宋体" w:eastAsia="仿宋_GB2312"/>
          <w:sz w:val="28"/>
          <w:szCs w:val="28"/>
        </w:rPr>
        <w:t>/kg</w:t>
      </w:r>
      <w:r>
        <w:rPr>
          <w:rFonts w:hint="eastAsia" w:ascii="仿宋_GB2312" w:hAnsi="新宋体" w:eastAsia="仿宋_GB2312"/>
          <w:sz w:val="28"/>
          <w:szCs w:val="28"/>
        </w:rPr>
        <w:t>（来源：《企业温室气体排放核算与报告指南 发电设施》 (2024)）</w:t>
      </w:r>
    </w:p>
    <w:p w14:paraId="035D98D4">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排放量</w:t>
      </w:r>
      <w:r>
        <w:rPr>
          <w:rFonts w:ascii="仿宋_GB2312" w:hAnsi="新宋体" w:eastAsia="仿宋_GB2312"/>
          <w:sz w:val="28"/>
          <w:szCs w:val="28"/>
        </w:rPr>
        <w:t>=0.</w:t>
      </w:r>
      <w:r>
        <w:rPr>
          <w:rFonts w:hint="eastAsia" w:ascii="仿宋_GB2312" w:hAnsi="新宋体" w:eastAsia="仿宋_GB2312"/>
          <w:sz w:val="28"/>
          <w:szCs w:val="28"/>
        </w:rPr>
        <w:t>0</w:t>
      </w:r>
      <w:r>
        <w:rPr>
          <w:rFonts w:ascii="仿宋_GB2312" w:hAnsi="新宋体" w:eastAsia="仿宋_GB2312"/>
          <w:sz w:val="28"/>
          <w:szCs w:val="28"/>
        </w:rPr>
        <w:t>8×1000×2.66×1 = 212</w:t>
      </w:r>
      <w:r>
        <w:rPr>
          <w:rFonts w:hint="eastAsia" w:ascii="仿宋_GB2312" w:hAnsi="新宋体" w:eastAsia="仿宋_GB2312"/>
          <w:sz w:val="28"/>
          <w:szCs w:val="28"/>
        </w:rPr>
        <w:t>.</w:t>
      </w:r>
      <w:r>
        <w:rPr>
          <w:rFonts w:ascii="仿宋_GB2312" w:hAnsi="新宋体" w:eastAsia="仿宋_GB2312"/>
          <w:sz w:val="28"/>
          <w:szCs w:val="28"/>
        </w:rPr>
        <w:t>8kgCO</w:t>
      </w:r>
      <w:r>
        <w:rPr>
          <w:rFonts w:ascii="Cambria Math" w:hAnsi="Cambria Math" w:eastAsia="仿宋_GB2312" w:cs="Cambria Math"/>
          <w:sz w:val="28"/>
          <w:szCs w:val="28"/>
        </w:rPr>
        <w:t>₂</w:t>
      </w:r>
      <w:r>
        <w:rPr>
          <w:rFonts w:ascii="仿宋_GB2312" w:hAnsi="新宋体" w:eastAsia="仿宋_GB2312"/>
          <w:sz w:val="28"/>
          <w:szCs w:val="28"/>
        </w:rPr>
        <w:t>e</w:t>
      </w:r>
    </w:p>
    <w:p w14:paraId="38BCC0FA">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（3）生产用电阶段</w:t>
      </w:r>
    </w:p>
    <w:p w14:paraId="3C4406FE">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耗电量：4500kWh</w:t>
      </w:r>
    </w:p>
    <w:p w14:paraId="18CD25C1">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排放量</w:t>
      </w:r>
      <w:r>
        <w:rPr>
          <w:rFonts w:ascii="仿宋_GB2312" w:hAnsi="新宋体" w:eastAsia="仿宋_GB2312"/>
          <w:sz w:val="28"/>
          <w:szCs w:val="28"/>
        </w:rPr>
        <w:t xml:space="preserve"> = </w:t>
      </w:r>
      <w:r>
        <w:rPr>
          <w:rFonts w:hint="eastAsia" w:ascii="仿宋_GB2312" w:hAnsi="新宋体" w:eastAsia="仿宋_GB2312"/>
          <w:sz w:val="28"/>
          <w:szCs w:val="28"/>
        </w:rPr>
        <w:t>4</w:t>
      </w:r>
      <w:r>
        <w:rPr>
          <w:rFonts w:ascii="仿宋_GB2312" w:hAnsi="新宋体" w:eastAsia="仿宋_GB2312"/>
          <w:sz w:val="28"/>
          <w:szCs w:val="28"/>
        </w:rPr>
        <w:t xml:space="preserve">500×0.56×1 = </w:t>
      </w:r>
      <w:r>
        <w:rPr>
          <w:rFonts w:hint="eastAsia" w:ascii="仿宋_GB2312" w:hAnsi="新宋体" w:eastAsia="仿宋_GB2312"/>
          <w:sz w:val="28"/>
          <w:szCs w:val="28"/>
        </w:rPr>
        <w:t>2520</w:t>
      </w:r>
      <w:r>
        <w:rPr>
          <w:rFonts w:ascii="仿宋_GB2312" w:hAnsi="新宋体" w:eastAsia="仿宋_GB2312"/>
          <w:sz w:val="28"/>
          <w:szCs w:val="28"/>
        </w:rPr>
        <w:t xml:space="preserve"> kgCO</w:t>
      </w:r>
      <w:r>
        <w:rPr>
          <w:rFonts w:ascii="Cambria Math" w:hAnsi="Cambria Math" w:eastAsia="仿宋_GB2312" w:cs="Cambria Math"/>
          <w:sz w:val="28"/>
          <w:szCs w:val="28"/>
        </w:rPr>
        <w:t>₂</w:t>
      </w:r>
      <w:r>
        <w:rPr>
          <w:rFonts w:ascii="仿宋_GB2312" w:hAnsi="新宋体" w:eastAsia="仿宋_GB2312"/>
          <w:sz w:val="28"/>
          <w:szCs w:val="28"/>
        </w:rPr>
        <w:t>e</w:t>
      </w:r>
    </w:p>
    <w:p w14:paraId="112E0AAC">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（4）公路运输阶段</w:t>
      </w:r>
    </w:p>
    <w:p w14:paraId="2E5C2CBF">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钒矿石运输：200公里 ×1 吨 ×0.02L / 吨公里</w:t>
      </w:r>
    </w:p>
    <w:p w14:paraId="212D6112">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油耗排放因子：</w:t>
      </w:r>
      <w:r>
        <w:rPr>
          <w:rFonts w:ascii="仿宋_GB2312" w:hAnsi="新宋体" w:eastAsia="仿宋_GB2312"/>
          <w:sz w:val="28"/>
          <w:szCs w:val="28"/>
        </w:rPr>
        <w:t>2.68kgCO</w:t>
      </w:r>
      <w:r>
        <w:rPr>
          <w:rFonts w:ascii="Cambria Math" w:hAnsi="Cambria Math" w:eastAsia="仿宋_GB2312" w:cs="Cambria Math"/>
          <w:sz w:val="28"/>
          <w:szCs w:val="28"/>
        </w:rPr>
        <w:t>₂</w:t>
      </w:r>
      <w:r>
        <w:rPr>
          <w:rFonts w:ascii="仿宋_GB2312" w:hAnsi="新宋体" w:eastAsia="仿宋_GB2312"/>
          <w:sz w:val="28"/>
          <w:szCs w:val="28"/>
        </w:rPr>
        <w:t>/L</w:t>
      </w:r>
      <w:r>
        <w:rPr>
          <w:rFonts w:hint="eastAsia" w:ascii="仿宋_GB2312" w:hAnsi="新宋体" w:eastAsia="仿宋_GB2312"/>
          <w:sz w:val="28"/>
          <w:szCs w:val="28"/>
        </w:rPr>
        <w:t>（柴油）</w:t>
      </w:r>
    </w:p>
    <w:p w14:paraId="64F1C687">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排放量</w:t>
      </w:r>
      <w:r>
        <w:rPr>
          <w:rFonts w:ascii="仿宋_GB2312" w:hAnsi="新宋体" w:eastAsia="仿宋_GB2312"/>
          <w:sz w:val="28"/>
          <w:szCs w:val="28"/>
        </w:rPr>
        <w:t xml:space="preserve"> = 200×1×0.0</w:t>
      </w:r>
      <w:r>
        <w:rPr>
          <w:rFonts w:hint="eastAsia" w:ascii="仿宋_GB2312" w:hAnsi="新宋体" w:eastAsia="仿宋_GB2312"/>
          <w:sz w:val="28"/>
          <w:szCs w:val="28"/>
        </w:rPr>
        <w:t>2</w:t>
      </w:r>
      <w:r>
        <w:rPr>
          <w:rFonts w:ascii="仿宋_GB2312" w:hAnsi="新宋体" w:eastAsia="仿宋_GB2312"/>
          <w:sz w:val="28"/>
          <w:szCs w:val="28"/>
        </w:rPr>
        <w:t xml:space="preserve">×2.68 = </w:t>
      </w:r>
      <w:r>
        <w:rPr>
          <w:rFonts w:hint="eastAsia" w:ascii="仿宋_GB2312" w:hAnsi="新宋体" w:eastAsia="仿宋_GB2312"/>
          <w:sz w:val="28"/>
          <w:szCs w:val="28"/>
        </w:rPr>
        <w:t>10.72</w:t>
      </w:r>
      <w:r>
        <w:rPr>
          <w:rFonts w:ascii="仿宋_GB2312" w:hAnsi="新宋体" w:eastAsia="仿宋_GB2312"/>
          <w:sz w:val="28"/>
          <w:szCs w:val="28"/>
        </w:rPr>
        <w:t>kgCO</w:t>
      </w:r>
      <w:r>
        <w:rPr>
          <w:rFonts w:ascii="Cambria Math" w:hAnsi="Cambria Math" w:eastAsia="仿宋_GB2312" w:cs="Cambria Math"/>
          <w:sz w:val="28"/>
          <w:szCs w:val="28"/>
        </w:rPr>
        <w:t>₂</w:t>
      </w:r>
      <w:r>
        <w:rPr>
          <w:rFonts w:ascii="仿宋_GB2312" w:hAnsi="新宋体" w:eastAsia="仿宋_GB2312"/>
          <w:sz w:val="28"/>
          <w:szCs w:val="28"/>
        </w:rPr>
        <w:t>e</w:t>
      </w:r>
    </w:p>
    <w:p w14:paraId="2A5A24D3">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硫酸公路运输：</w:t>
      </w:r>
      <w:r>
        <w:rPr>
          <w:rFonts w:ascii="仿宋_GB2312" w:hAnsi="新宋体" w:eastAsia="仿宋_GB2312"/>
          <w:sz w:val="28"/>
          <w:szCs w:val="28"/>
        </w:rPr>
        <w:t>100</w:t>
      </w:r>
      <w:r>
        <w:rPr>
          <w:rFonts w:hint="eastAsia" w:ascii="仿宋_GB2312" w:hAnsi="新宋体" w:eastAsia="仿宋_GB2312"/>
          <w:sz w:val="28"/>
          <w:szCs w:val="28"/>
        </w:rPr>
        <w:t>公里</w:t>
      </w:r>
      <w:r>
        <w:rPr>
          <w:rFonts w:ascii="仿宋_GB2312" w:hAnsi="新宋体" w:eastAsia="仿宋_GB2312"/>
          <w:sz w:val="28"/>
          <w:szCs w:val="28"/>
        </w:rPr>
        <w:t>×1</w:t>
      </w:r>
      <w:r>
        <w:rPr>
          <w:rFonts w:hint="eastAsia" w:ascii="仿宋_GB2312" w:hAnsi="新宋体" w:eastAsia="仿宋_GB2312"/>
          <w:sz w:val="28"/>
          <w:szCs w:val="28"/>
        </w:rPr>
        <w:t>吨</w:t>
      </w:r>
      <w:r>
        <w:rPr>
          <w:rFonts w:ascii="仿宋_GB2312" w:hAnsi="新宋体" w:eastAsia="仿宋_GB2312"/>
          <w:sz w:val="28"/>
          <w:szCs w:val="28"/>
        </w:rPr>
        <w:t>×0.0</w:t>
      </w:r>
      <w:r>
        <w:rPr>
          <w:rFonts w:hint="eastAsia" w:ascii="仿宋_GB2312" w:hAnsi="新宋体" w:eastAsia="仿宋_GB2312"/>
          <w:sz w:val="28"/>
          <w:szCs w:val="28"/>
        </w:rPr>
        <w:t>2</w:t>
      </w:r>
      <w:r>
        <w:rPr>
          <w:rFonts w:ascii="仿宋_GB2312" w:hAnsi="新宋体" w:eastAsia="仿宋_GB2312"/>
          <w:sz w:val="28"/>
          <w:szCs w:val="28"/>
        </w:rPr>
        <w:t xml:space="preserve">×2.68 = </w:t>
      </w:r>
      <w:r>
        <w:rPr>
          <w:rFonts w:hint="eastAsia" w:ascii="仿宋_GB2312" w:hAnsi="新宋体" w:eastAsia="仿宋_GB2312"/>
          <w:sz w:val="28"/>
          <w:szCs w:val="28"/>
        </w:rPr>
        <w:t>5.36</w:t>
      </w:r>
      <w:r>
        <w:rPr>
          <w:rFonts w:ascii="仿宋_GB2312" w:hAnsi="新宋体" w:eastAsia="仿宋_GB2312"/>
          <w:sz w:val="28"/>
          <w:szCs w:val="28"/>
        </w:rPr>
        <w:t>kgCO</w:t>
      </w:r>
      <w:r>
        <w:rPr>
          <w:rFonts w:ascii="Cambria Math" w:hAnsi="Cambria Math" w:eastAsia="仿宋_GB2312" w:cs="Cambria Math"/>
          <w:sz w:val="28"/>
          <w:szCs w:val="28"/>
        </w:rPr>
        <w:t>₂</w:t>
      </w:r>
      <w:r>
        <w:rPr>
          <w:rFonts w:ascii="仿宋_GB2312" w:hAnsi="新宋体" w:eastAsia="仿宋_GB2312"/>
          <w:sz w:val="28"/>
          <w:szCs w:val="28"/>
        </w:rPr>
        <w:t>e</w:t>
      </w:r>
    </w:p>
    <w:p w14:paraId="5F438F30">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成品运输：</w:t>
      </w:r>
      <w:r>
        <w:rPr>
          <w:rFonts w:ascii="仿宋_GB2312" w:hAnsi="新宋体" w:eastAsia="仿宋_GB2312"/>
          <w:sz w:val="28"/>
          <w:szCs w:val="28"/>
        </w:rPr>
        <w:t>150</w:t>
      </w:r>
      <w:r>
        <w:rPr>
          <w:rFonts w:hint="eastAsia" w:ascii="仿宋_GB2312" w:hAnsi="新宋体" w:eastAsia="仿宋_GB2312"/>
          <w:sz w:val="28"/>
          <w:szCs w:val="28"/>
        </w:rPr>
        <w:t>公里</w:t>
      </w:r>
      <w:r>
        <w:rPr>
          <w:rFonts w:ascii="仿宋_GB2312" w:hAnsi="新宋体" w:eastAsia="仿宋_GB2312"/>
          <w:sz w:val="28"/>
          <w:szCs w:val="28"/>
        </w:rPr>
        <w:t>×1</w:t>
      </w:r>
      <w:r>
        <w:rPr>
          <w:rFonts w:hint="eastAsia" w:ascii="仿宋_GB2312" w:hAnsi="新宋体" w:eastAsia="仿宋_GB2312"/>
          <w:sz w:val="28"/>
          <w:szCs w:val="28"/>
        </w:rPr>
        <w:t>吨</w:t>
      </w:r>
      <w:r>
        <w:rPr>
          <w:rFonts w:ascii="仿宋_GB2312" w:hAnsi="新宋体" w:eastAsia="仿宋_GB2312"/>
          <w:sz w:val="28"/>
          <w:szCs w:val="28"/>
        </w:rPr>
        <w:t>×0.0</w:t>
      </w:r>
      <w:r>
        <w:rPr>
          <w:rFonts w:hint="eastAsia" w:ascii="仿宋_GB2312" w:hAnsi="新宋体" w:eastAsia="仿宋_GB2312"/>
          <w:sz w:val="28"/>
          <w:szCs w:val="28"/>
        </w:rPr>
        <w:t>2</w:t>
      </w:r>
      <w:r>
        <w:rPr>
          <w:rFonts w:ascii="仿宋_GB2312" w:hAnsi="新宋体" w:eastAsia="仿宋_GB2312"/>
          <w:sz w:val="28"/>
          <w:szCs w:val="28"/>
        </w:rPr>
        <w:t xml:space="preserve">×2.68 = </w:t>
      </w:r>
      <w:r>
        <w:rPr>
          <w:rFonts w:hint="eastAsia" w:ascii="仿宋_GB2312" w:hAnsi="新宋体" w:eastAsia="仿宋_GB2312"/>
          <w:sz w:val="28"/>
          <w:szCs w:val="28"/>
        </w:rPr>
        <w:t>8.04</w:t>
      </w:r>
      <w:r>
        <w:rPr>
          <w:rFonts w:ascii="仿宋_GB2312" w:hAnsi="新宋体" w:eastAsia="仿宋_GB2312"/>
          <w:sz w:val="28"/>
          <w:szCs w:val="28"/>
        </w:rPr>
        <w:t xml:space="preserve"> kgCO</w:t>
      </w:r>
      <w:r>
        <w:rPr>
          <w:rFonts w:ascii="Cambria Math" w:hAnsi="Cambria Math" w:eastAsia="仿宋_GB2312" w:cs="Cambria Math"/>
          <w:sz w:val="28"/>
          <w:szCs w:val="28"/>
        </w:rPr>
        <w:t>₂</w:t>
      </w:r>
      <w:r>
        <w:rPr>
          <w:rFonts w:ascii="仿宋_GB2312" w:hAnsi="新宋体" w:eastAsia="仿宋_GB2312"/>
          <w:sz w:val="28"/>
          <w:szCs w:val="28"/>
        </w:rPr>
        <w:t>e</w:t>
      </w:r>
    </w:p>
    <w:p w14:paraId="3DD90ACA">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公路运输总排放</w:t>
      </w:r>
      <w:r>
        <w:rPr>
          <w:rFonts w:ascii="仿宋_GB2312" w:hAnsi="新宋体" w:eastAsia="仿宋_GB2312"/>
          <w:sz w:val="28"/>
          <w:szCs w:val="28"/>
        </w:rPr>
        <w:t xml:space="preserve">= </w:t>
      </w:r>
      <w:r>
        <w:rPr>
          <w:rFonts w:hint="eastAsia" w:ascii="仿宋_GB2312" w:hAnsi="新宋体" w:eastAsia="仿宋_GB2312"/>
          <w:sz w:val="28"/>
          <w:szCs w:val="28"/>
        </w:rPr>
        <w:t>10.72</w:t>
      </w:r>
      <w:r>
        <w:rPr>
          <w:rFonts w:ascii="仿宋_GB2312" w:hAnsi="新宋体" w:eastAsia="仿宋_GB2312"/>
          <w:sz w:val="28"/>
          <w:szCs w:val="28"/>
        </w:rPr>
        <w:t>+</w:t>
      </w:r>
      <w:r>
        <w:rPr>
          <w:rFonts w:hint="eastAsia" w:ascii="仿宋_GB2312" w:hAnsi="新宋体" w:eastAsia="仿宋_GB2312"/>
          <w:sz w:val="28"/>
          <w:szCs w:val="28"/>
        </w:rPr>
        <w:t>5.36</w:t>
      </w:r>
      <w:r>
        <w:rPr>
          <w:rFonts w:ascii="仿宋_GB2312" w:hAnsi="新宋体" w:eastAsia="仿宋_GB2312"/>
          <w:sz w:val="28"/>
          <w:szCs w:val="28"/>
        </w:rPr>
        <w:t>+</w:t>
      </w:r>
      <w:r>
        <w:rPr>
          <w:rFonts w:hint="eastAsia" w:ascii="仿宋_GB2312" w:hAnsi="新宋体" w:eastAsia="仿宋_GB2312"/>
          <w:sz w:val="28"/>
          <w:szCs w:val="28"/>
        </w:rPr>
        <w:t>8.04</w:t>
      </w:r>
      <w:r>
        <w:rPr>
          <w:rFonts w:ascii="仿宋_GB2312" w:hAnsi="新宋体" w:eastAsia="仿宋_GB2312"/>
          <w:sz w:val="28"/>
          <w:szCs w:val="28"/>
        </w:rPr>
        <w:t xml:space="preserve"> = </w:t>
      </w:r>
      <w:r>
        <w:rPr>
          <w:rFonts w:hint="eastAsia" w:ascii="仿宋_GB2312" w:hAnsi="新宋体" w:eastAsia="仿宋_GB2312"/>
          <w:sz w:val="28"/>
          <w:szCs w:val="28"/>
        </w:rPr>
        <w:t>24.12</w:t>
      </w:r>
      <w:r>
        <w:rPr>
          <w:rFonts w:ascii="仿宋_GB2312" w:hAnsi="新宋体" w:eastAsia="仿宋_GB2312"/>
          <w:sz w:val="28"/>
          <w:szCs w:val="28"/>
        </w:rPr>
        <w:t xml:space="preserve"> kgCO</w:t>
      </w:r>
      <w:r>
        <w:rPr>
          <w:rFonts w:ascii="Cambria Math" w:hAnsi="Cambria Math" w:eastAsia="仿宋_GB2312" w:cs="Cambria Math"/>
          <w:sz w:val="28"/>
          <w:szCs w:val="28"/>
        </w:rPr>
        <w:t>₂</w:t>
      </w:r>
      <w:r>
        <w:rPr>
          <w:rFonts w:ascii="仿宋_GB2312" w:hAnsi="新宋体" w:eastAsia="仿宋_GB2312"/>
          <w:sz w:val="28"/>
          <w:szCs w:val="28"/>
        </w:rPr>
        <w:t>e</w:t>
      </w:r>
    </w:p>
    <w:p w14:paraId="4A7FC5DE">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（5）水路运输阶段</w:t>
      </w:r>
    </w:p>
    <w:p w14:paraId="3A6EB4F4">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硫酸水路运输：</w:t>
      </w:r>
    </w:p>
    <w:p w14:paraId="22D6B15D">
      <w:pPr>
        <w:pStyle w:val="32"/>
        <w:numPr>
          <w:ilvl w:val="0"/>
          <w:numId w:val="0"/>
        </w:numPr>
        <w:spacing w:line="240" w:lineRule="auto"/>
        <w:ind w:firstLine="560" w:firstLineChars="200"/>
        <w:rPr>
          <w:rFonts w:hint="eastAsia" w:ascii="仿宋_GB2312" w:hAnsi="新宋体" w:eastAsia="仿宋_GB2312"/>
          <w:sz w:val="28"/>
          <w:szCs w:val="28"/>
        </w:rPr>
      </w:pPr>
      <w:r>
        <w:rPr>
          <w:rFonts w:ascii="仿宋_GB2312" w:hAnsi="新宋体" w:eastAsia="仿宋_GB2312"/>
          <w:sz w:val="28"/>
          <w:szCs w:val="28"/>
        </w:rPr>
        <w:t>300</w:t>
      </w:r>
      <w:r>
        <w:rPr>
          <w:rFonts w:hint="eastAsia" w:ascii="仿宋_GB2312" w:hAnsi="新宋体" w:eastAsia="仿宋_GB2312"/>
          <w:sz w:val="28"/>
          <w:szCs w:val="28"/>
        </w:rPr>
        <w:t>公里</w:t>
      </w:r>
      <w:r>
        <w:rPr>
          <w:rFonts w:ascii="仿宋_GB2312" w:hAnsi="新宋体" w:eastAsia="仿宋_GB2312"/>
          <w:sz w:val="28"/>
          <w:szCs w:val="28"/>
        </w:rPr>
        <w:t>×1</w:t>
      </w:r>
      <w:r>
        <w:rPr>
          <w:rFonts w:hint="eastAsia" w:ascii="仿宋_GB2312" w:hAnsi="新宋体" w:eastAsia="仿宋_GB2312"/>
          <w:sz w:val="28"/>
          <w:szCs w:val="28"/>
        </w:rPr>
        <w:t>吨</w:t>
      </w:r>
      <w:r>
        <w:rPr>
          <w:rFonts w:ascii="仿宋_GB2312" w:hAnsi="新宋体" w:eastAsia="仿宋_GB2312"/>
          <w:sz w:val="28"/>
          <w:szCs w:val="28"/>
        </w:rPr>
        <w:t>×0.0</w:t>
      </w:r>
      <w:r>
        <w:rPr>
          <w:rFonts w:hint="eastAsia" w:ascii="仿宋_GB2312" w:hAnsi="新宋体" w:eastAsia="仿宋_GB2312"/>
          <w:sz w:val="28"/>
          <w:szCs w:val="28"/>
        </w:rPr>
        <w:t>15</w:t>
      </w:r>
      <w:r>
        <w:rPr>
          <w:rFonts w:ascii="仿宋_GB2312" w:hAnsi="新宋体" w:eastAsia="仿宋_GB2312"/>
          <w:sz w:val="28"/>
          <w:szCs w:val="28"/>
        </w:rPr>
        <w:t>L /</w:t>
      </w:r>
      <w:r>
        <w:rPr>
          <w:rFonts w:hint="eastAsia" w:ascii="仿宋_GB2312" w:hAnsi="新宋体" w:eastAsia="仿宋_GB2312"/>
          <w:sz w:val="28"/>
          <w:szCs w:val="28"/>
        </w:rPr>
        <w:t>吨公里</w:t>
      </w:r>
      <w:r>
        <w:rPr>
          <w:rFonts w:ascii="仿宋_GB2312" w:hAnsi="新宋体" w:eastAsia="仿宋_GB2312"/>
          <w:sz w:val="28"/>
          <w:szCs w:val="28"/>
        </w:rPr>
        <w:t>×2.68kgCO</w:t>
      </w:r>
      <w:r>
        <w:rPr>
          <w:rFonts w:ascii="Cambria Math" w:hAnsi="Cambria Math" w:eastAsia="仿宋_GB2312" w:cs="Cambria Math"/>
          <w:sz w:val="28"/>
          <w:szCs w:val="28"/>
        </w:rPr>
        <w:t>₂</w:t>
      </w:r>
      <w:r>
        <w:rPr>
          <w:rFonts w:ascii="仿宋_GB2312" w:hAnsi="新宋体" w:eastAsia="仿宋_GB2312"/>
          <w:sz w:val="28"/>
          <w:szCs w:val="28"/>
        </w:rPr>
        <w:t xml:space="preserve">/L= </w:t>
      </w:r>
      <w:r>
        <w:rPr>
          <w:rFonts w:hint="eastAsia" w:ascii="仿宋_GB2312" w:hAnsi="新宋体" w:eastAsia="仿宋_GB2312"/>
          <w:sz w:val="28"/>
          <w:szCs w:val="28"/>
        </w:rPr>
        <w:t>12.06</w:t>
      </w:r>
      <w:r>
        <w:rPr>
          <w:rFonts w:ascii="仿宋_GB2312" w:hAnsi="新宋体" w:eastAsia="仿宋_GB2312"/>
          <w:sz w:val="28"/>
          <w:szCs w:val="28"/>
        </w:rPr>
        <w:t xml:space="preserve"> kgCO</w:t>
      </w:r>
      <w:r>
        <w:rPr>
          <w:rFonts w:ascii="Cambria Math" w:hAnsi="Cambria Math" w:eastAsia="仿宋_GB2312" w:cs="Cambria Math"/>
          <w:sz w:val="28"/>
          <w:szCs w:val="28"/>
        </w:rPr>
        <w:t>₂</w:t>
      </w:r>
      <w:r>
        <w:rPr>
          <w:rFonts w:ascii="仿宋_GB2312" w:hAnsi="新宋体" w:eastAsia="仿宋_GB2312"/>
          <w:sz w:val="28"/>
          <w:szCs w:val="28"/>
        </w:rPr>
        <w:t>e</w:t>
      </w:r>
    </w:p>
    <w:p w14:paraId="69251506">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8.2 产品碳足迹汇总</w:t>
      </w:r>
    </w:p>
    <w:p w14:paraId="1834EB0C">
      <w:pPr>
        <w:pStyle w:val="32"/>
        <w:numPr>
          <w:ilvl w:val="0"/>
          <w:numId w:val="0"/>
        </w:numPr>
        <w:spacing w:line="240" w:lineRule="auto"/>
        <w:rPr>
          <w:rFonts w:hint="eastAsia" w:ascii="仿宋_GB2312" w:hAnsi="新宋体" w:eastAsia="仿宋_GB2312"/>
        </w:rPr>
      </w:pPr>
      <m:oMathPara>
        <m:oMath>
          <m:r>
            <m:rPr/>
            <w:rPr>
              <w:rFonts w:ascii="Cambria Math" w:hAnsi="Cambria Math"/>
            </w:rPr>
            <m:t>PCF=</m:t>
          </m:r>
          <m:nary>
            <m:naryPr>
              <m:chr m:val="∑"/>
              <m:limLoc m:val="undOvr"/>
              <m:ctrlPr>
                <w:rPr>
                  <w:rFonts w:ascii="Cambria Math" w:hAnsi="Cambria Math"/>
                  <w:i/>
                </w:rPr>
              </m:ctrlPr>
            </m:naryPr>
            <m:sub>
              <m:r>
                <m:rPr/>
                <w:rPr>
                  <w:rFonts w:ascii="Cambria Math" w:hAnsi="Cambria Math"/>
                </w:rPr>
                <m:t>j=1</m:t>
              </m:r>
              <m:ctrlPr>
                <w:rPr>
                  <w:rFonts w:ascii="Cambria Math" w:hAnsi="Cambria Math"/>
                  <w:i/>
                </w:rPr>
              </m:ctrlPr>
            </m:sub>
            <m:sup>
              <m:r>
                <m:rPr/>
                <w:rPr>
                  <w:rFonts w:ascii="Cambria Math" w:hAnsi="Cambria Math"/>
                </w:rPr>
                <m:t>m</m:t>
              </m:r>
              <m:ctrlPr>
                <w:rPr>
                  <w:rFonts w:ascii="Cambria Math" w:hAnsi="Cambria Math"/>
                  <w:i/>
                </w:rPr>
              </m:ctrlPr>
            </m:sup>
            <m:e>
              <m:sSub>
                <m:sSubPr>
                  <m:ctrlPr>
                    <w:rPr>
                      <w:rFonts w:ascii="Cambria Math" w:hAnsi="Cambria Math"/>
                      <w:i/>
                    </w:rPr>
                  </m:ctrlPr>
                </m:sSubPr>
                <m:e>
                  <m:r>
                    <m:rPr/>
                    <w:rPr>
                      <w:rFonts w:ascii="Cambria Math" w:hAnsi="Cambria Math"/>
                    </w:rPr>
                    <m:t>E</m:t>
                  </m:r>
                  <m:ctrlPr>
                    <w:rPr>
                      <w:rFonts w:ascii="Cambria Math" w:hAnsi="Cambria Math"/>
                      <w:i/>
                    </w:rPr>
                  </m:ctrlPr>
                </m:e>
                <m:sub>
                  <m:r>
                    <m:rPr/>
                    <w:rPr>
                      <w:rFonts w:ascii="Cambria Math" w:hAnsi="Cambria Math"/>
                    </w:rPr>
                    <m:t>j</m:t>
                  </m:r>
                  <m:ctrlPr>
                    <w:rPr>
                      <w:rFonts w:ascii="Cambria Math" w:hAnsi="Cambria Math"/>
                      <w:i/>
                    </w:rPr>
                  </m:ctrlPr>
                </m:sub>
              </m:sSub>
              <m:ctrlPr>
                <w:rPr>
                  <w:rFonts w:ascii="Cambria Math" w:hAnsi="Cambria Math"/>
                  <w:i/>
                </w:rPr>
              </m:ctrlPr>
            </m:e>
          </m:nary>
        </m:oMath>
      </m:oMathPara>
    </w:p>
    <w:p w14:paraId="5416F649">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将各阶段排放量累加：</w:t>
      </w:r>
    </w:p>
    <w:p w14:paraId="0FF3261D">
      <w:pPr>
        <w:pStyle w:val="32"/>
        <w:numPr>
          <w:ilvl w:val="0"/>
          <w:numId w:val="0"/>
        </w:numPr>
        <w:spacing w:line="240" w:lineRule="auto"/>
        <w:ind w:firstLine="560" w:firstLineChars="200"/>
        <w:rPr>
          <w:rFonts w:hint="eastAsia" w:ascii="仿宋_GB2312" w:hAnsi="新宋体" w:eastAsia="仿宋_GB2312"/>
          <w:sz w:val="28"/>
          <w:szCs w:val="28"/>
        </w:rPr>
      </w:pPr>
      <w:r>
        <w:rPr>
          <w:rFonts w:ascii="仿宋_GB2312" w:hAnsi="新宋体" w:eastAsia="仿宋_GB2312"/>
          <w:sz w:val="28"/>
          <w:szCs w:val="28"/>
        </w:rPr>
        <w:t>PCF=10.08</w:t>
      </w:r>
      <w:r>
        <w:rPr>
          <w:rFonts w:hint="eastAsia" w:ascii="仿宋_GB2312" w:hAnsi="新宋体" w:eastAsia="仿宋_GB2312"/>
          <w:sz w:val="28"/>
          <w:szCs w:val="28"/>
        </w:rPr>
        <w:t>（钒矿石）</w:t>
      </w:r>
      <w:r>
        <w:rPr>
          <w:rFonts w:ascii="仿宋_GB2312" w:hAnsi="新宋体" w:eastAsia="仿宋_GB2312"/>
          <w:sz w:val="28"/>
          <w:szCs w:val="28"/>
        </w:rPr>
        <w:t>+212.8</w:t>
      </w:r>
      <w:r>
        <w:rPr>
          <w:rFonts w:hint="eastAsia" w:ascii="仿宋_GB2312" w:hAnsi="新宋体" w:eastAsia="仿宋_GB2312"/>
          <w:sz w:val="28"/>
          <w:szCs w:val="28"/>
        </w:rPr>
        <w:t>（硫酸）</w:t>
      </w:r>
      <w:r>
        <w:rPr>
          <w:rFonts w:ascii="仿宋_GB2312" w:hAnsi="新宋体" w:eastAsia="仿宋_GB2312"/>
          <w:sz w:val="28"/>
          <w:szCs w:val="28"/>
        </w:rPr>
        <w:t>+ 2520</w:t>
      </w:r>
      <w:r>
        <w:rPr>
          <w:rFonts w:hint="eastAsia" w:ascii="仿宋_GB2312" w:hAnsi="新宋体" w:eastAsia="仿宋_GB2312"/>
          <w:sz w:val="28"/>
          <w:szCs w:val="28"/>
        </w:rPr>
        <w:t>（生产用电）</w:t>
      </w:r>
      <w:r>
        <w:rPr>
          <w:rFonts w:ascii="仿宋_GB2312" w:hAnsi="新宋体" w:eastAsia="仿宋_GB2312"/>
          <w:sz w:val="28"/>
          <w:szCs w:val="28"/>
        </w:rPr>
        <w:t>+ 24.12</w:t>
      </w:r>
      <w:r>
        <w:rPr>
          <w:rFonts w:hint="eastAsia" w:ascii="仿宋_GB2312" w:hAnsi="新宋体" w:eastAsia="仿宋_GB2312"/>
          <w:sz w:val="28"/>
          <w:szCs w:val="28"/>
        </w:rPr>
        <w:t>（公路运输）</w:t>
      </w:r>
      <w:r>
        <w:rPr>
          <w:rFonts w:ascii="仿宋_GB2312" w:hAnsi="新宋体" w:eastAsia="仿宋_GB2312"/>
          <w:sz w:val="28"/>
          <w:szCs w:val="28"/>
        </w:rPr>
        <w:t>+ 12.06</w:t>
      </w:r>
      <w:r>
        <w:rPr>
          <w:rFonts w:hint="eastAsia" w:ascii="仿宋_GB2312" w:hAnsi="新宋体" w:eastAsia="仿宋_GB2312"/>
          <w:sz w:val="28"/>
          <w:szCs w:val="28"/>
        </w:rPr>
        <w:t>（水路运输）</w:t>
      </w:r>
      <w:r>
        <w:rPr>
          <w:rFonts w:ascii="仿宋_GB2312" w:hAnsi="新宋体" w:eastAsia="仿宋_GB2312"/>
          <w:sz w:val="28"/>
          <w:szCs w:val="28"/>
        </w:rPr>
        <w:t>=2779.06 kgCO</w:t>
      </w:r>
      <w:r>
        <w:rPr>
          <w:rFonts w:ascii="Cambria Math" w:hAnsi="Cambria Math" w:eastAsia="仿宋_GB2312" w:cs="Cambria Math"/>
          <w:sz w:val="28"/>
          <w:szCs w:val="28"/>
        </w:rPr>
        <w:t>₂</w:t>
      </w:r>
      <w:r>
        <w:rPr>
          <w:rFonts w:ascii="仿宋_GB2312" w:hAnsi="新宋体" w:eastAsia="仿宋_GB2312"/>
          <w:sz w:val="28"/>
          <w:szCs w:val="28"/>
        </w:rPr>
        <w:t>e/</w:t>
      </w:r>
      <w:r>
        <w:rPr>
          <w:rFonts w:hint="eastAsia" w:ascii="仿宋_GB2312" w:hAnsi="新宋体" w:eastAsia="仿宋_GB2312"/>
          <w:sz w:val="28"/>
          <w:szCs w:val="28"/>
        </w:rPr>
        <w:t>吨</w:t>
      </w:r>
    </w:p>
    <w:bookmarkEnd w:id="12"/>
    <w:p w14:paraId="251BC072">
      <w:pPr>
        <w:pStyle w:val="24"/>
        <w:numPr>
          <w:ilvl w:val="0"/>
          <w:numId w:val="21"/>
        </w:numPr>
        <w:adjustRightInd w:val="0"/>
        <w:snapToGrid w:val="0"/>
        <w:spacing w:after="0"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经济影响和预期的社会经济效益</w:t>
      </w:r>
    </w:p>
    <w:p w14:paraId="34B28DFC">
      <w:pPr>
        <w:pStyle w:val="26"/>
        <w:adjustRightInd w:val="0"/>
        <w:snapToGrid w:val="0"/>
        <w:spacing w:after="0" w:line="600" w:lineRule="exact"/>
        <w:ind w:firstLine="560"/>
        <w:jc w:val="left"/>
        <w:rPr>
          <w:rFonts w:hint="eastAsia" w:ascii="仿宋_GB2312" w:hAnsi="新宋体" w:eastAsia="仿宋_GB2312"/>
          <w:sz w:val="28"/>
          <w:szCs w:val="28"/>
        </w:rPr>
      </w:pPr>
      <w:bookmarkStart w:id="14" w:name="OLE_LINK23"/>
      <w:bookmarkStart w:id="15" w:name="OLE_LINK24"/>
      <w:r>
        <w:rPr>
          <w:rFonts w:hint="eastAsia" w:ascii="仿宋_GB2312" w:hAnsi="新宋体" w:eastAsia="仿宋_GB2312"/>
          <w:sz w:val="28"/>
          <w:szCs w:val="28"/>
        </w:rPr>
        <w:t>本文件将无偿提供给省内同行使用，不会产生直接的经济效益，但通过全钒液流电池电解液碳足迹评价通则可以规范碳足迹核算过程和结果，直观的量化体现出核算报告的情况，从这一角度上来说对于提高碳足迹核算报告质量和提升碳足迹核算人员的自我能力都是有重要意义的。本文件将会促进全钒液流电池电解液产品碳足迹核算报告的质量提升，间接的节省了相关工作的人力物力等资源，从而产生较大的经济效益，并具有较深远的社会效益。</w:t>
      </w:r>
    </w:p>
    <w:p w14:paraId="40FDDBB5">
      <w:pPr>
        <w:pStyle w:val="24"/>
        <w:numPr>
          <w:ilvl w:val="0"/>
          <w:numId w:val="21"/>
        </w:numPr>
        <w:adjustRightInd w:val="0"/>
        <w:snapToGrid w:val="0"/>
        <w:spacing w:after="0" w:line="276" w:lineRule="auto"/>
        <w:ind w:left="0" w:firstLine="0" w:firstLineChars="0"/>
        <w:jc w:val="left"/>
        <w:rPr>
          <w:rFonts w:hint="eastAsia" w:ascii="仿宋_GB2312" w:hAnsi="新宋体" w:eastAsia="仿宋_GB2312"/>
          <w:b/>
          <w:sz w:val="28"/>
          <w:szCs w:val="28"/>
        </w:rPr>
      </w:pPr>
      <w:r>
        <w:rPr>
          <w:rFonts w:hint="eastAsia" w:ascii="仿宋_GB2312" w:hAnsi="新宋体" w:eastAsia="仿宋_GB2312"/>
          <w:b/>
          <w:sz w:val="28"/>
          <w:szCs w:val="28"/>
        </w:rPr>
        <w:t>标准中所涉及的专利</w:t>
      </w:r>
    </w:p>
    <w:p w14:paraId="65E27C74">
      <w:pPr>
        <w:pStyle w:val="26"/>
        <w:adjustRightInd w:val="0"/>
        <w:snapToGrid w:val="0"/>
        <w:spacing w:after="0" w:line="600" w:lineRule="exact"/>
        <w:ind w:firstLine="560"/>
        <w:jc w:val="left"/>
        <w:rPr>
          <w:rFonts w:hint="eastAsia" w:ascii="仿宋_GB2312" w:hAnsi="宋体" w:eastAsia="仿宋_GB2312"/>
          <w:kern w:val="2"/>
          <w:sz w:val="28"/>
          <w:szCs w:val="28"/>
        </w:rPr>
      </w:pPr>
      <w:r>
        <w:rPr>
          <w:rFonts w:hint="eastAsia" w:ascii="仿宋_GB2312" w:hAnsi="宋体" w:eastAsia="仿宋_GB2312"/>
          <w:kern w:val="2"/>
          <w:sz w:val="28"/>
          <w:szCs w:val="28"/>
        </w:rPr>
        <w:t>本标准是不涉及专利。</w:t>
      </w:r>
    </w:p>
    <w:bookmarkEnd w:id="14"/>
    <w:bookmarkEnd w:id="15"/>
    <w:p w14:paraId="3CCD55D8">
      <w:pPr>
        <w:pStyle w:val="24"/>
        <w:numPr>
          <w:ilvl w:val="0"/>
          <w:numId w:val="21"/>
        </w:numPr>
        <w:adjustRightInd w:val="0"/>
        <w:snapToGrid w:val="0"/>
        <w:spacing w:after="0" w:line="276" w:lineRule="auto"/>
        <w:ind w:left="0" w:firstLine="0" w:firstLineChars="0"/>
        <w:jc w:val="left"/>
        <w:rPr>
          <w:rFonts w:hint="eastAsia" w:ascii="仿宋_GB2312" w:hAnsi="新宋体" w:eastAsia="仿宋_GB2312"/>
          <w:b/>
          <w:sz w:val="28"/>
          <w:szCs w:val="28"/>
        </w:rPr>
      </w:pPr>
      <w:bookmarkStart w:id="16" w:name="OLE_LINK26"/>
      <w:bookmarkStart w:id="17" w:name="OLE_LINK25"/>
      <w:r>
        <w:rPr>
          <w:rFonts w:hint="eastAsia" w:ascii="仿宋_GB2312" w:hAnsi="新宋体" w:eastAsia="仿宋_GB2312"/>
          <w:b/>
          <w:sz w:val="28"/>
          <w:szCs w:val="28"/>
        </w:rPr>
        <w:t>采用国际标准和国外先进标准情况</w:t>
      </w:r>
    </w:p>
    <w:p w14:paraId="2C6301EF">
      <w:pPr>
        <w:pStyle w:val="26"/>
        <w:adjustRightInd w:val="0"/>
        <w:snapToGrid w:val="0"/>
        <w:spacing w:after="0" w:line="600" w:lineRule="exact"/>
        <w:ind w:firstLine="560"/>
        <w:jc w:val="left"/>
        <w:rPr>
          <w:rFonts w:hint="eastAsia" w:ascii="仿宋_GB2312" w:hAnsi="宋体" w:eastAsia="仿宋_GB2312"/>
          <w:kern w:val="2"/>
          <w:sz w:val="28"/>
          <w:szCs w:val="28"/>
        </w:rPr>
      </w:pPr>
      <w:r>
        <w:rPr>
          <w:rFonts w:hint="eastAsia" w:ascii="仿宋_GB2312" w:hAnsi="宋体" w:eastAsia="仿宋_GB2312"/>
          <w:kern w:val="2"/>
          <w:sz w:val="28"/>
          <w:szCs w:val="28"/>
        </w:rPr>
        <w:t>通过现行标准和专利查阅，国内外没有相类似的标准，起草小组也会积极也行业主管部门及国家标准制修订单位联系，提出相关的意见建议，以完善新版本国标的相关内容。</w:t>
      </w:r>
    </w:p>
    <w:p w14:paraId="6D4DE5B8">
      <w:pPr>
        <w:pStyle w:val="24"/>
        <w:numPr>
          <w:ilvl w:val="0"/>
          <w:numId w:val="21"/>
        </w:numPr>
        <w:adjustRightInd w:val="0"/>
        <w:snapToGrid w:val="0"/>
        <w:spacing w:after="0" w:line="276" w:lineRule="auto"/>
        <w:ind w:left="0" w:firstLine="0" w:firstLineChars="0"/>
        <w:jc w:val="left"/>
        <w:rPr>
          <w:rFonts w:hint="eastAsia" w:ascii="仿宋_GB2312" w:hAnsi="新宋体" w:eastAsia="仿宋_GB2312"/>
          <w:b/>
          <w:sz w:val="28"/>
          <w:szCs w:val="28"/>
        </w:rPr>
      </w:pPr>
      <w:r>
        <w:rPr>
          <w:rFonts w:hint="eastAsia" w:ascii="仿宋_GB2312" w:hAnsi="新宋体" w:eastAsia="仿宋_GB2312"/>
          <w:b/>
          <w:sz w:val="28"/>
          <w:szCs w:val="28"/>
        </w:rPr>
        <w:t>与现行法律、法规、规章及相关标准的协调性</w:t>
      </w:r>
    </w:p>
    <w:p w14:paraId="6072B103">
      <w:pPr>
        <w:pStyle w:val="26"/>
        <w:adjustRightInd w:val="0"/>
        <w:snapToGrid w:val="0"/>
        <w:spacing w:after="0" w:line="600" w:lineRule="exact"/>
        <w:ind w:firstLine="560"/>
        <w:jc w:val="left"/>
        <w:rPr>
          <w:rFonts w:hint="eastAsia" w:ascii="仿宋_GB2312" w:hAnsi="新宋体" w:eastAsia="仿宋_GB2312"/>
          <w:sz w:val="28"/>
          <w:szCs w:val="28"/>
        </w:rPr>
      </w:pPr>
      <w:r>
        <w:rPr>
          <w:rFonts w:hint="eastAsia" w:ascii="仿宋_GB2312" w:hAnsi="新宋体" w:eastAsia="仿宋_GB2312"/>
          <w:sz w:val="28"/>
          <w:szCs w:val="28"/>
        </w:rPr>
        <w:t>本标准与有关的现行法律、法规、政策和现行的相关标准无矛盾或冲突。</w:t>
      </w:r>
    </w:p>
    <w:p w14:paraId="2AFDB2F5">
      <w:pPr>
        <w:pStyle w:val="24"/>
        <w:numPr>
          <w:ilvl w:val="0"/>
          <w:numId w:val="21"/>
        </w:numPr>
        <w:adjustRightInd w:val="0"/>
        <w:snapToGrid w:val="0"/>
        <w:spacing w:after="0" w:line="276" w:lineRule="auto"/>
        <w:ind w:left="0" w:firstLine="0" w:firstLineChars="0"/>
        <w:jc w:val="left"/>
        <w:rPr>
          <w:rFonts w:hint="eastAsia" w:ascii="仿宋_GB2312" w:hAnsi="新宋体" w:eastAsia="仿宋_GB2312"/>
          <w:b/>
          <w:sz w:val="28"/>
          <w:szCs w:val="28"/>
        </w:rPr>
      </w:pPr>
      <w:r>
        <w:rPr>
          <w:rFonts w:hint="eastAsia" w:ascii="仿宋_GB2312" w:hAnsi="新宋体" w:eastAsia="仿宋_GB2312"/>
          <w:b/>
          <w:sz w:val="28"/>
          <w:szCs w:val="28"/>
        </w:rPr>
        <w:t>重大分歧意见的处理经过和依据</w:t>
      </w:r>
    </w:p>
    <w:p w14:paraId="61C725F0">
      <w:pPr>
        <w:pStyle w:val="24"/>
        <w:adjustRightInd w:val="0"/>
        <w:snapToGrid w:val="0"/>
        <w:spacing w:after="0" w:line="360" w:lineRule="auto"/>
        <w:ind w:firstLine="560"/>
        <w:jc w:val="left"/>
        <w:rPr>
          <w:rFonts w:hint="eastAsia" w:ascii="仿宋_GB2312" w:hAnsi="新宋体" w:eastAsia="仿宋_GB2312"/>
          <w:b/>
          <w:sz w:val="28"/>
          <w:szCs w:val="28"/>
        </w:rPr>
      </w:pPr>
      <w:r>
        <w:rPr>
          <w:rFonts w:hint="eastAsia" w:ascii="仿宋_GB2312" w:hAnsi="新宋体" w:eastAsia="仿宋_GB2312"/>
          <w:sz w:val="28"/>
          <w:szCs w:val="28"/>
        </w:rPr>
        <w:t>本标准在制定过程中未出现重大分歧意见。</w:t>
      </w:r>
    </w:p>
    <w:p w14:paraId="30074639">
      <w:pPr>
        <w:pStyle w:val="24"/>
        <w:numPr>
          <w:ilvl w:val="0"/>
          <w:numId w:val="21"/>
        </w:numPr>
        <w:adjustRightInd w:val="0"/>
        <w:snapToGrid w:val="0"/>
        <w:spacing w:after="0" w:line="276" w:lineRule="auto"/>
        <w:ind w:left="0" w:firstLine="0" w:firstLineChars="0"/>
        <w:jc w:val="left"/>
        <w:rPr>
          <w:rFonts w:hint="eastAsia" w:ascii="仿宋_GB2312" w:hAnsi="新宋体" w:eastAsia="仿宋_GB2312"/>
          <w:b/>
          <w:sz w:val="28"/>
          <w:szCs w:val="28"/>
        </w:rPr>
      </w:pPr>
      <w:r>
        <w:rPr>
          <w:rFonts w:hint="eastAsia" w:ascii="仿宋_GB2312" w:hAnsi="新宋体" w:eastAsia="仿宋_GB2312"/>
          <w:b/>
          <w:sz w:val="28"/>
          <w:szCs w:val="28"/>
        </w:rPr>
        <w:t>贯彻标准的要求和措施建议</w:t>
      </w:r>
    </w:p>
    <w:p w14:paraId="221DD0FA">
      <w:pPr>
        <w:pStyle w:val="26"/>
        <w:adjustRightInd w:val="0"/>
        <w:snapToGrid w:val="0"/>
        <w:spacing w:after="0" w:line="360" w:lineRule="auto"/>
        <w:ind w:firstLine="560"/>
        <w:jc w:val="left"/>
        <w:rPr>
          <w:rFonts w:hint="eastAsia" w:ascii="仿宋_GB2312" w:hAnsi="新宋体" w:eastAsia="仿宋_GB2312"/>
          <w:sz w:val="28"/>
          <w:szCs w:val="28"/>
        </w:rPr>
      </w:pPr>
      <w:r>
        <w:rPr>
          <w:rFonts w:hint="eastAsia" w:ascii="仿宋_GB2312" w:hAnsi="新宋体" w:eastAsia="仿宋_GB2312"/>
          <w:sz w:val="28"/>
          <w:szCs w:val="28"/>
        </w:rPr>
        <w:t>待本标准批准发布后，建议由标准起草单位组织相关单位进行宣贯。</w:t>
      </w:r>
    </w:p>
    <w:p w14:paraId="6CE6B93F">
      <w:pPr>
        <w:pStyle w:val="24"/>
        <w:numPr>
          <w:ilvl w:val="0"/>
          <w:numId w:val="21"/>
        </w:numPr>
        <w:adjustRightInd w:val="0"/>
        <w:snapToGrid w:val="0"/>
        <w:spacing w:after="0" w:line="276" w:lineRule="auto"/>
        <w:ind w:left="0" w:firstLine="0" w:firstLineChars="0"/>
        <w:jc w:val="left"/>
        <w:rPr>
          <w:rFonts w:hint="eastAsia" w:ascii="仿宋_GB2312" w:hAnsi="新宋体" w:eastAsia="仿宋_GB2312"/>
          <w:b/>
          <w:sz w:val="28"/>
          <w:szCs w:val="28"/>
        </w:rPr>
      </w:pPr>
      <w:r>
        <w:rPr>
          <w:rFonts w:hint="eastAsia" w:ascii="仿宋_GB2312" w:hAnsi="新宋体" w:eastAsia="仿宋_GB2312"/>
          <w:b/>
          <w:sz w:val="28"/>
          <w:szCs w:val="28"/>
        </w:rPr>
        <w:t>废止现行相关标准的建议</w:t>
      </w:r>
    </w:p>
    <w:bookmarkEnd w:id="16"/>
    <w:bookmarkEnd w:id="17"/>
    <w:p w14:paraId="6A5D8917">
      <w:pPr>
        <w:adjustRightInd w:val="0"/>
        <w:snapToGrid w:val="0"/>
        <w:spacing w:after="0" w:line="360" w:lineRule="auto"/>
        <w:ind w:firstLine="560" w:firstLineChars="200"/>
        <w:jc w:val="left"/>
        <w:rPr>
          <w:rFonts w:hint="eastAsia" w:ascii="仿宋_GB2312" w:hAnsi="新宋体" w:eastAsia="仿宋_GB2312"/>
          <w:sz w:val="28"/>
          <w:szCs w:val="28"/>
        </w:rPr>
      </w:pPr>
      <w:r>
        <w:rPr>
          <w:rFonts w:hint="eastAsia" w:ascii="仿宋_GB2312" w:hAnsi="新宋体" w:eastAsia="仿宋_GB2312"/>
          <w:sz w:val="28"/>
          <w:szCs w:val="28"/>
        </w:rPr>
        <w:t>本标准为首次制定。</w:t>
      </w:r>
    </w:p>
    <w:p w14:paraId="21612414">
      <w:pPr>
        <w:pStyle w:val="24"/>
        <w:numPr>
          <w:ilvl w:val="0"/>
          <w:numId w:val="21"/>
        </w:numPr>
        <w:adjustRightInd w:val="0"/>
        <w:snapToGrid w:val="0"/>
        <w:spacing w:after="0" w:line="276" w:lineRule="auto"/>
        <w:ind w:left="0" w:firstLine="0" w:firstLineChars="0"/>
        <w:jc w:val="left"/>
        <w:rPr>
          <w:rFonts w:hint="eastAsia" w:ascii="仿宋_GB2312" w:hAnsi="新宋体" w:eastAsia="仿宋_GB2312"/>
          <w:b/>
          <w:sz w:val="28"/>
          <w:szCs w:val="28"/>
        </w:rPr>
      </w:pPr>
      <w:bookmarkStart w:id="18" w:name="OLE_LINK30"/>
      <w:bookmarkStart w:id="19" w:name="OLE_LINK29"/>
      <w:r>
        <w:rPr>
          <w:rFonts w:hint="eastAsia" w:ascii="仿宋_GB2312" w:hAnsi="新宋体" w:eastAsia="仿宋_GB2312"/>
          <w:b/>
          <w:sz w:val="28"/>
          <w:szCs w:val="28"/>
        </w:rPr>
        <w:t>其他应予说明的事项</w:t>
      </w:r>
    </w:p>
    <w:bookmarkEnd w:id="18"/>
    <w:bookmarkEnd w:id="19"/>
    <w:p w14:paraId="26B1DC3F">
      <w:pPr>
        <w:pStyle w:val="26"/>
        <w:adjustRightInd w:val="0"/>
        <w:snapToGrid w:val="0"/>
        <w:spacing w:after="0" w:line="360" w:lineRule="auto"/>
        <w:ind w:firstLine="560"/>
        <w:jc w:val="left"/>
        <w:rPr>
          <w:rFonts w:hint="eastAsia" w:ascii="仿宋_GB2312" w:hAnsi="新宋体" w:eastAsia="仿宋_GB2312"/>
          <w:sz w:val="28"/>
          <w:szCs w:val="28"/>
        </w:rPr>
      </w:pPr>
      <w:r>
        <w:rPr>
          <w:rFonts w:hint="eastAsia" w:ascii="仿宋_GB2312" w:hAnsi="新宋体" w:eastAsia="仿宋_GB2312"/>
          <w:sz w:val="28"/>
          <w:szCs w:val="28"/>
        </w:rPr>
        <w:t>无其他说明事项。</w:t>
      </w:r>
    </w:p>
    <w:p w14:paraId="54EDC470">
      <w:pPr>
        <w:pStyle w:val="32"/>
        <w:numPr>
          <w:ilvl w:val="0"/>
          <w:numId w:val="0"/>
        </w:numPr>
        <w:spacing w:line="240" w:lineRule="auto"/>
        <w:rPr>
          <w:rFonts w:hint="eastAsia" w:ascii="仿宋_GB2312" w:hAnsi="新宋体" w:eastAsia="仿宋_GB2312"/>
          <w:b/>
          <w:bCs/>
          <w:sz w:val="28"/>
          <w:szCs w:val="28"/>
        </w:rPr>
      </w:pPr>
    </w:p>
    <w:p w14:paraId="4E6AF531">
      <w:pPr>
        <w:pStyle w:val="32"/>
        <w:numPr>
          <w:ilvl w:val="0"/>
          <w:numId w:val="0"/>
        </w:numPr>
        <w:spacing w:line="240" w:lineRule="auto"/>
        <w:rPr>
          <w:rFonts w:hint="eastAsia" w:ascii="仿宋_GB2312" w:hAnsi="新宋体" w:eastAsia="仿宋_GB2312"/>
          <w:sz w:val="28"/>
          <w:szCs w:val="28"/>
        </w:rPr>
      </w:pPr>
    </w:p>
    <w:p w14:paraId="42D383D0">
      <w:pPr>
        <w:pStyle w:val="32"/>
        <w:numPr>
          <w:ilvl w:val="0"/>
          <w:numId w:val="0"/>
        </w:numPr>
        <w:spacing w:line="240" w:lineRule="auto"/>
        <w:rPr>
          <w:rFonts w:hint="eastAsia" w:ascii="仿宋_GB2312" w:hAnsi="新宋体" w:eastAsia="仿宋_GB2312"/>
          <w:sz w:val="28"/>
          <w:szCs w:val="28"/>
        </w:rPr>
      </w:pPr>
      <w:bookmarkStart w:id="20" w:name="_GoBack"/>
      <w:bookmarkEnd w:id="20"/>
    </w:p>
    <w:p w14:paraId="6008686F">
      <w:pPr>
        <w:pStyle w:val="32"/>
        <w:numPr>
          <w:ilvl w:val="0"/>
          <w:numId w:val="0"/>
        </w:numPr>
        <w:spacing w:line="240" w:lineRule="auto"/>
        <w:rPr>
          <w:rFonts w:hint="eastAsia" w:ascii="仿宋_GB2312" w:hAnsi="新宋体" w:eastAsia="仿宋_GB2312"/>
          <w:sz w:val="28"/>
          <w:szCs w:val="28"/>
        </w:rPr>
      </w:pPr>
    </w:p>
    <w:p w14:paraId="1B5B0F65">
      <w:pPr>
        <w:pStyle w:val="32"/>
        <w:numPr>
          <w:ilvl w:val="0"/>
          <w:numId w:val="0"/>
        </w:numPr>
        <w:spacing w:line="240" w:lineRule="auto"/>
        <w:rPr>
          <w:rFonts w:hint="eastAsia" w:ascii="仿宋_GB2312" w:hAnsi="新宋体" w:eastAsia="仿宋_GB2312"/>
          <w:sz w:val="28"/>
          <w:szCs w:val="28"/>
        </w:rPr>
      </w:pPr>
    </w:p>
    <w:p w14:paraId="241C66ED">
      <w:pPr>
        <w:pStyle w:val="32"/>
        <w:numPr>
          <w:ilvl w:val="0"/>
          <w:numId w:val="0"/>
        </w:numPr>
        <w:spacing w:line="240" w:lineRule="auto"/>
        <w:rPr>
          <w:rFonts w:hint="eastAsia" w:ascii="仿宋_GB2312" w:hAnsi="新宋体" w:eastAsia="仿宋_GB2312"/>
          <w:sz w:val="28"/>
          <w:szCs w:val="28"/>
        </w:rPr>
      </w:pPr>
    </w:p>
    <w:p w14:paraId="2A597B35">
      <w:pPr>
        <w:pStyle w:val="32"/>
        <w:numPr>
          <w:ilvl w:val="0"/>
          <w:numId w:val="0"/>
        </w:numPr>
        <w:spacing w:line="240" w:lineRule="auto"/>
        <w:rPr>
          <w:rFonts w:hint="eastAsia" w:ascii="仿宋_GB2312" w:hAnsi="新宋体" w:eastAsia="仿宋_GB2312"/>
          <w:sz w:val="28"/>
          <w:szCs w:val="28"/>
        </w:rPr>
      </w:pPr>
    </w:p>
    <w:p w14:paraId="240F50F1">
      <w:pPr>
        <w:pStyle w:val="32"/>
        <w:numPr>
          <w:ilvl w:val="0"/>
          <w:numId w:val="0"/>
        </w:numPr>
        <w:spacing w:line="240" w:lineRule="auto"/>
        <w:rPr>
          <w:rFonts w:hint="eastAsia" w:ascii="仿宋_GB2312" w:hAnsi="新宋体" w:eastAsia="仿宋_GB2312"/>
          <w:sz w:val="28"/>
          <w:szCs w:val="28"/>
        </w:rPr>
      </w:pPr>
    </w:p>
    <w:p w14:paraId="045D858D">
      <w:pPr>
        <w:pStyle w:val="32"/>
        <w:numPr>
          <w:ilvl w:val="0"/>
          <w:numId w:val="0"/>
        </w:numPr>
        <w:spacing w:line="240" w:lineRule="auto"/>
        <w:rPr>
          <w:rFonts w:hint="eastAsia" w:ascii="仿宋_GB2312" w:hAnsi="新宋体" w:eastAsia="仿宋_GB2312"/>
          <w:sz w:val="28"/>
          <w:szCs w:val="28"/>
        </w:rPr>
      </w:pPr>
    </w:p>
    <w:p w14:paraId="0BCBD808">
      <w:pPr>
        <w:pStyle w:val="32"/>
        <w:numPr>
          <w:ilvl w:val="0"/>
          <w:numId w:val="0"/>
        </w:numPr>
        <w:spacing w:line="240" w:lineRule="auto"/>
        <w:rPr>
          <w:rFonts w:hint="eastAsia" w:ascii="仿宋_GB2312" w:hAnsi="新宋体" w:eastAsia="仿宋_GB2312"/>
          <w:sz w:val="28"/>
          <w:szCs w:val="28"/>
        </w:rPr>
      </w:pPr>
    </w:p>
    <w:p w14:paraId="77316677">
      <w:pPr>
        <w:pStyle w:val="32"/>
        <w:numPr>
          <w:ilvl w:val="0"/>
          <w:numId w:val="0"/>
        </w:numPr>
        <w:spacing w:line="240" w:lineRule="auto"/>
        <w:rPr>
          <w:rFonts w:hint="eastAsia" w:ascii="仿宋_GB2312" w:hAnsi="新宋体" w:eastAsia="仿宋_GB2312"/>
          <w:sz w:val="28"/>
          <w:szCs w:val="28"/>
        </w:rPr>
      </w:pPr>
    </w:p>
    <w:p w14:paraId="67F4C36D">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附件1 产品碳足迹报告例</w:t>
      </w:r>
    </w:p>
    <w:p w14:paraId="33FA1E57">
      <w:pPr>
        <w:pStyle w:val="27"/>
        <w:spacing w:after="0" w:line="720" w:lineRule="auto"/>
        <w:ind w:firstLine="720"/>
        <w:jc w:val="center"/>
        <w:rPr>
          <w:rFonts w:hint="eastAsia" w:ascii="黑体" w:hAnsi="黑体" w:eastAsia="黑体"/>
          <w:sz w:val="36"/>
          <w:szCs w:val="32"/>
        </w:rPr>
      </w:pPr>
    </w:p>
    <w:p w14:paraId="2754A18E">
      <w:pPr>
        <w:pStyle w:val="27"/>
        <w:spacing w:after="0" w:line="720" w:lineRule="auto"/>
        <w:ind w:firstLine="720"/>
        <w:jc w:val="center"/>
        <w:rPr>
          <w:rFonts w:hint="eastAsia" w:ascii="黑体" w:hAnsi="黑体" w:eastAsia="黑体"/>
          <w:sz w:val="36"/>
          <w:szCs w:val="32"/>
        </w:rPr>
      </w:pPr>
      <w:r>
        <w:rPr>
          <w:rFonts w:hint="eastAsia" w:ascii="黑体" w:hAnsi="黑体" w:eastAsia="黑体"/>
          <w:sz w:val="36"/>
          <w:szCs w:val="32"/>
        </w:rPr>
        <w:t xml:space="preserve">全钒液流电池电解液产品碳足迹评价报告模板 </w:t>
      </w:r>
    </w:p>
    <w:p w14:paraId="1D6ABF1B">
      <w:pPr>
        <w:pStyle w:val="27"/>
        <w:spacing w:after="0" w:line="720" w:lineRule="auto"/>
        <w:ind w:firstLine="720"/>
        <w:jc w:val="center"/>
        <w:rPr>
          <w:rFonts w:hint="eastAsia" w:ascii="黑体" w:hAnsi="黑体" w:eastAsia="黑体"/>
          <w:sz w:val="36"/>
          <w:szCs w:val="32"/>
        </w:rPr>
      </w:pPr>
      <w:r>
        <w:rPr>
          <w:rFonts w:hint="eastAsia" w:ascii="黑体" w:hAnsi="黑体" w:eastAsia="黑体"/>
          <w:sz w:val="36"/>
          <w:szCs w:val="32"/>
        </w:rPr>
        <w:t>产品碳足迹研究报告（模板）</w:t>
      </w:r>
    </w:p>
    <w:p w14:paraId="23323DEF">
      <w:pPr>
        <w:pStyle w:val="27"/>
        <w:spacing w:after="0" w:line="480" w:lineRule="auto"/>
        <w:ind w:firstLine="420"/>
      </w:pPr>
    </w:p>
    <w:p w14:paraId="4072E2F6">
      <w:pPr>
        <w:pStyle w:val="27"/>
        <w:spacing w:after="0" w:line="480" w:lineRule="auto"/>
        <w:ind w:firstLine="420"/>
      </w:pPr>
    </w:p>
    <w:p w14:paraId="64A9A374">
      <w:pPr>
        <w:pStyle w:val="27"/>
        <w:spacing w:after="0" w:line="480" w:lineRule="auto"/>
        <w:ind w:firstLine="420"/>
      </w:pPr>
    </w:p>
    <w:p w14:paraId="56AB6B04">
      <w:pPr>
        <w:pStyle w:val="27"/>
        <w:spacing w:after="0" w:line="480" w:lineRule="auto"/>
        <w:ind w:firstLine="420"/>
      </w:pPr>
    </w:p>
    <w:p w14:paraId="597ECC78">
      <w:pPr>
        <w:pStyle w:val="27"/>
        <w:spacing w:after="0" w:line="480" w:lineRule="auto"/>
        <w:ind w:firstLine="420"/>
      </w:pPr>
      <w:r>
        <w:rPr>
          <w:rFonts w:hint="eastAsia"/>
        </w:rPr>
        <w:t>产品名称：</w:t>
      </w:r>
      <w:r>
        <w:rPr>
          <w:rFonts w:hint="eastAsia"/>
          <w:u w:val="single"/>
        </w:rPr>
        <w:t xml:space="preserve">    </w:t>
      </w:r>
      <w:r>
        <w:rPr>
          <w:u w:val="single"/>
        </w:rPr>
        <w:t>全钒液流电池电解液</w:t>
      </w:r>
      <w:r>
        <w:rPr>
          <w:rFonts w:hint="eastAsia"/>
          <w:u w:val="single"/>
        </w:rPr>
        <w:t xml:space="preserve">                   </w:t>
      </w:r>
    </w:p>
    <w:p w14:paraId="7076FED8">
      <w:pPr>
        <w:pStyle w:val="27"/>
        <w:spacing w:after="0" w:line="480" w:lineRule="auto"/>
        <w:ind w:firstLine="420"/>
      </w:pPr>
      <w:r>
        <w:rPr>
          <w:rFonts w:hint="eastAsia"/>
        </w:rPr>
        <w:t>产品规格型号：</w:t>
      </w:r>
      <w:r>
        <w:rPr>
          <w:rFonts w:hint="eastAsia"/>
          <w:u w:val="single"/>
        </w:rPr>
        <w:t xml:space="preserve">   </w:t>
      </w:r>
      <w:r>
        <w:rPr>
          <w:u w:val="single"/>
        </w:rPr>
        <w:t>V-Flow-1000</w:t>
      </w:r>
      <w:r>
        <w:rPr>
          <w:rFonts w:hint="eastAsia"/>
          <w:u w:val="single"/>
        </w:rPr>
        <w:t xml:space="preserve">                       </w:t>
      </w:r>
    </w:p>
    <w:p w14:paraId="201B89D9">
      <w:pPr>
        <w:pStyle w:val="27"/>
        <w:spacing w:after="0" w:line="480" w:lineRule="auto"/>
        <w:ind w:firstLine="420"/>
      </w:pPr>
      <w:r>
        <w:rPr>
          <w:rFonts w:hint="eastAsia"/>
        </w:rPr>
        <w:t>生产者名称：</w:t>
      </w:r>
      <w:r>
        <w:rPr>
          <w:rFonts w:hint="eastAsia"/>
          <w:u w:val="single"/>
        </w:rPr>
        <w:t xml:space="preserve">     ****                              </w:t>
      </w:r>
      <w:r>
        <w:rPr>
          <w:rFonts w:hint="eastAsia"/>
        </w:rPr>
        <w:t xml:space="preserve">  </w:t>
      </w:r>
    </w:p>
    <w:p w14:paraId="5B841A87">
      <w:pPr>
        <w:pStyle w:val="27"/>
        <w:spacing w:after="0" w:line="480" w:lineRule="auto"/>
        <w:ind w:firstLine="420"/>
      </w:pPr>
      <w:r>
        <w:rPr>
          <w:rFonts w:hint="eastAsia"/>
        </w:rPr>
        <w:t>报告编号：</w:t>
      </w:r>
      <w:r>
        <w:rPr>
          <w:rFonts w:hint="eastAsia"/>
          <w:u w:val="single"/>
        </w:rPr>
        <w:t xml:space="preserve">      ZJY-2025-001                       </w:t>
      </w:r>
      <w:r>
        <w:rPr>
          <w:rFonts w:hint="eastAsia"/>
        </w:rPr>
        <w:t xml:space="preserve">  </w:t>
      </w:r>
    </w:p>
    <w:p w14:paraId="75FA9EEE">
      <w:pPr>
        <w:pStyle w:val="27"/>
        <w:spacing w:after="0"/>
        <w:ind w:firstLine="420"/>
      </w:pPr>
    </w:p>
    <w:p w14:paraId="78BD44DA">
      <w:pPr>
        <w:pStyle w:val="27"/>
        <w:spacing w:after="0"/>
        <w:ind w:firstLine="420"/>
      </w:pPr>
    </w:p>
    <w:p w14:paraId="062E5A71">
      <w:pPr>
        <w:pStyle w:val="27"/>
        <w:spacing w:after="0"/>
        <w:ind w:firstLine="420"/>
      </w:pPr>
    </w:p>
    <w:p w14:paraId="15F257C2">
      <w:pPr>
        <w:pStyle w:val="27"/>
        <w:spacing w:after="0"/>
        <w:ind w:firstLine="420"/>
      </w:pPr>
    </w:p>
    <w:p w14:paraId="3C95D15F">
      <w:pPr>
        <w:pStyle w:val="27"/>
        <w:spacing w:after="0"/>
        <w:ind w:firstLine="420"/>
      </w:pPr>
    </w:p>
    <w:p w14:paraId="7AEE23A3">
      <w:pPr>
        <w:pStyle w:val="27"/>
        <w:spacing w:after="0"/>
        <w:ind w:firstLine="420"/>
      </w:pPr>
    </w:p>
    <w:p w14:paraId="7549EA58">
      <w:pPr>
        <w:pStyle w:val="27"/>
        <w:spacing w:after="0"/>
        <w:ind w:firstLine="420"/>
      </w:pPr>
    </w:p>
    <w:p w14:paraId="15FD2E3F">
      <w:pPr>
        <w:pStyle w:val="27"/>
        <w:spacing w:after="0"/>
        <w:ind w:firstLine="420"/>
      </w:pPr>
    </w:p>
    <w:p w14:paraId="2AB01443">
      <w:pPr>
        <w:pStyle w:val="27"/>
        <w:spacing w:after="0" w:line="360" w:lineRule="auto"/>
        <w:ind w:firstLine="420"/>
        <w:jc w:val="right"/>
      </w:pPr>
    </w:p>
    <w:p w14:paraId="4006154C">
      <w:pPr>
        <w:pStyle w:val="27"/>
        <w:spacing w:after="0" w:line="360" w:lineRule="auto"/>
        <w:ind w:firstLine="420"/>
        <w:jc w:val="right"/>
      </w:pPr>
      <w:r>
        <w:rPr>
          <w:rFonts w:hint="eastAsia"/>
        </w:rPr>
        <w:t>出具报告机构：</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 xml:space="preserve">（盖章）   </w:t>
      </w:r>
    </w:p>
    <w:p w14:paraId="446BDEF9">
      <w:pPr>
        <w:pStyle w:val="27"/>
        <w:spacing w:after="0" w:line="360" w:lineRule="auto"/>
        <w:ind w:firstLine="420"/>
        <w:jc w:val="right"/>
      </w:pPr>
      <w:r>
        <w:rPr>
          <w:rFonts w:hint="eastAsia"/>
        </w:rPr>
        <w:t xml:space="preserve">日期：  </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年</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月</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日</w:t>
      </w:r>
    </w:p>
    <w:p w14:paraId="7955D28A">
      <w:pPr>
        <w:pStyle w:val="27"/>
        <w:spacing w:after="0"/>
        <w:ind w:firstLine="420"/>
      </w:pPr>
    </w:p>
    <w:p w14:paraId="607A1832">
      <w:pPr>
        <w:pStyle w:val="27"/>
        <w:spacing w:after="0"/>
        <w:ind w:firstLine="420"/>
      </w:pPr>
    </w:p>
    <w:p w14:paraId="46BEB25D">
      <w:pPr>
        <w:pStyle w:val="27"/>
        <w:spacing w:after="0"/>
        <w:ind w:firstLine="420"/>
      </w:pPr>
    </w:p>
    <w:p w14:paraId="133257C5">
      <w:pPr>
        <w:pStyle w:val="27"/>
        <w:spacing w:after="0"/>
        <w:ind w:firstLine="420"/>
      </w:pPr>
    </w:p>
    <w:p w14:paraId="6C7B0166">
      <w:pPr>
        <w:pStyle w:val="27"/>
        <w:spacing w:after="0" w:line="360" w:lineRule="auto"/>
        <w:ind w:firstLine="0" w:firstLineChars="0"/>
        <w:rPr>
          <w:b/>
          <w:bCs/>
          <w:sz w:val="24"/>
          <w:szCs w:val="22"/>
        </w:rPr>
      </w:pPr>
      <w:r>
        <w:rPr>
          <w:rFonts w:hint="eastAsia"/>
          <w:b/>
          <w:bCs/>
          <w:sz w:val="24"/>
          <w:szCs w:val="22"/>
        </w:rPr>
        <w:t>一、概况</w:t>
      </w:r>
    </w:p>
    <w:p w14:paraId="45F19D44">
      <w:pPr>
        <w:pStyle w:val="27"/>
        <w:spacing w:after="0" w:line="360" w:lineRule="auto"/>
        <w:ind w:firstLine="0" w:firstLineChars="0"/>
      </w:pPr>
      <w:r>
        <w:rPr>
          <w:rFonts w:hint="eastAsia"/>
        </w:rPr>
        <w:t>1、生产者信息</w:t>
      </w:r>
    </w:p>
    <w:p w14:paraId="612B133E">
      <w:pPr>
        <w:pStyle w:val="27"/>
        <w:spacing w:after="0" w:line="360" w:lineRule="auto"/>
        <w:ind w:firstLine="420"/>
      </w:pPr>
      <w:r>
        <w:rPr>
          <w:rFonts w:hint="eastAsia"/>
        </w:rPr>
        <w:t>生产者名称：</w:t>
      </w:r>
      <w:r>
        <w:rPr>
          <w:rFonts w:hint="eastAsia"/>
          <w:u w:val="single"/>
        </w:rPr>
        <w:t xml:space="preserve">           ****                             </w:t>
      </w:r>
    </w:p>
    <w:p w14:paraId="4C8E0DAF">
      <w:pPr>
        <w:pStyle w:val="27"/>
        <w:spacing w:after="0" w:line="360" w:lineRule="auto"/>
        <w:ind w:firstLine="420"/>
      </w:pPr>
      <w:r>
        <w:rPr>
          <w:rFonts w:hint="eastAsia"/>
        </w:rPr>
        <w:t>地址：</w:t>
      </w:r>
      <w:r>
        <w:rPr>
          <w:rFonts w:hint="eastAsia"/>
          <w:u w:val="single"/>
        </w:rPr>
        <w:t xml:space="preserve">            ****                                  </w:t>
      </w:r>
    </w:p>
    <w:p w14:paraId="00AFDC74">
      <w:pPr>
        <w:pStyle w:val="27"/>
        <w:spacing w:after="0" w:line="360" w:lineRule="auto"/>
        <w:ind w:firstLine="420"/>
      </w:pPr>
      <w:r>
        <w:rPr>
          <w:rFonts w:hint="eastAsia"/>
        </w:rPr>
        <w:t>法定代表人：</w:t>
      </w:r>
      <w:r>
        <w:rPr>
          <w:rFonts w:hint="eastAsia"/>
          <w:u w:val="single"/>
        </w:rPr>
        <w:t xml:space="preserve">         ****                               </w:t>
      </w:r>
    </w:p>
    <w:p w14:paraId="75A8F480">
      <w:pPr>
        <w:pStyle w:val="27"/>
        <w:spacing w:after="0" w:line="360" w:lineRule="auto"/>
        <w:ind w:firstLine="420"/>
      </w:pPr>
      <w:r>
        <w:rPr>
          <w:rFonts w:hint="eastAsia"/>
        </w:rPr>
        <w:t>授权人(联系人)：</w:t>
      </w:r>
      <w:r>
        <w:rPr>
          <w:rFonts w:hint="eastAsia"/>
          <w:u w:val="single"/>
        </w:rPr>
        <w:t xml:space="preserve">       ****                             </w:t>
      </w:r>
    </w:p>
    <w:p w14:paraId="6DB8D2B3">
      <w:pPr>
        <w:pStyle w:val="27"/>
        <w:spacing w:after="0" w:line="360" w:lineRule="auto"/>
        <w:ind w:firstLine="420"/>
      </w:pPr>
      <w:r>
        <w:rPr>
          <w:rFonts w:hint="eastAsia"/>
        </w:rPr>
        <w:t>联系电话：</w:t>
      </w:r>
      <w:r>
        <w:rPr>
          <w:rFonts w:hint="eastAsia"/>
          <w:u w:val="single"/>
        </w:rPr>
        <w:t xml:space="preserve">         ****                                 </w:t>
      </w:r>
    </w:p>
    <w:p w14:paraId="667820AD">
      <w:pPr>
        <w:pStyle w:val="27"/>
        <w:spacing w:after="0" w:line="360" w:lineRule="auto"/>
        <w:ind w:firstLine="420"/>
      </w:pPr>
      <w:r>
        <w:rPr>
          <w:rFonts w:hint="eastAsia"/>
        </w:rPr>
        <w:t>企业概况：</w:t>
      </w:r>
      <w:r>
        <w:rPr>
          <w:rFonts w:hint="eastAsia"/>
          <w:u w:val="single"/>
        </w:rPr>
        <w:t xml:space="preserve">  </w:t>
      </w:r>
      <w:r>
        <w:rPr>
          <w:u w:val="single"/>
        </w:rPr>
        <w:t>年产全钒液流电池电解液1000吨，采用酸浸提纯工艺</w:t>
      </w:r>
      <w:r>
        <w:rPr>
          <w:rFonts w:hint="eastAsia"/>
          <w:u w:val="single"/>
        </w:rPr>
        <w:t xml:space="preserve">      </w:t>
      </w:r>
    </w:p>
    <w:p w14:paraId="298A6C3C">
      <w:pPr>
        <w:pStyle w:val="27"/>
        <w:spacing w:after="0" w:line="360" w:lineRule="auto"/>
        <w:ind w:firstLine="0" w:firstLineChars="0"/>
      </w:pPr>
      <w:r>
        <w:rPr>
          <w:rFonts w:hint="eastAsia"/>
        </w:rPr>
        <w:t>2、产品信息</w:t>
      </w:r>
    </w:p>
    <w:p w14:paraId="3E66F60A">
      <w:pPr>
        <w:pStyle w:val="27"/>
        <w:spacing w:after="0" w:line="360" w:lineRule="auto"/>
        <w:ind w:firstLine="420"/>
        <w:rPr>
          <w:u w:val="single"/>
        </w:rPr>
      </w:pPr>
      <w:r>
        <w:rPr>
          <w:rFonts w:hint="eastAsia"/>
        </w:rPr>
        <w:t>产品名称：</w:t>
      </w:r>
      <w:r>
        <w:rPr>
          <w:rFonts w:hint="eastAsia"/>
          <w:u w:val="single"/>
        </w:rPr>
        <w:t xml:space="preserve">    </w:t>
      </w:r>
      <w:r>
        <w:rPr>
          <w:u w:val="single"/>
        </w:rPr>
        <w:t>全钒液流电池电解液</w:t>
      </w:r>
      <w:r>
        <w:rPr>
          <w:rFonts w:hint="eastAsia"/>
          <w:u w:val="single"/>
        </w:rPr>
        <w:t xml:space="preserve">                                    </w:t>
      </w:r>
    </w:p>
    <w:p w14:paraId="0EF9B8F9">
      <w:pPr>
        <w:pStyle w:val="27"/>
        <w:spacing w:after="0" w:line="360" w:lineRule="auto"/>
        <w:ind w:firstLine="420"/>
      </w:pPr>
      <w:r>
        <w:rPr>
          <w:rFonts w:hint="eastAsia"/>
        </w:rPr>
        <w:t>产品功能：</w:t>
      </w:r>
      <w:r>
        <w:rPr>
          <w:rFonts w:hint="eastAsia"/>
          <w:u w:val="single"/>
        </w:rPr>
        <w:t xml:space="preserve">    </w:t>
      </w:r>
      <w:r>
        <w:rPr>
          <w:u w:val="single"/>
        </w:rPr>
        <w:t>用于全钒液流电池储能系统，支持1000次以上充放电循环</w:t>
      </w:r>
      <w:r>
        <w:rPr>
          <w:rFonts w:hint="eastAsia"/>
          <w:u w:val="single"/>
        </w:rPr>
        <w:t xml:space="preserve">  </w:t>
      </w:r>
    </w:p>
    <w:p w14:paraId="1D39EC0B">
      <w:pPr>
        <w:pStyle w:val="27"/>
        <w:spacing w:after="0" w:line="360" w:lineRule="auto"/>
        <w:ind w:firstLine="420"/>
      </w:pPr>
      <w:r>
        <w:rPr>
          <w:rFonts w:hint="eastAsia"/>
        </w:rPr>
        <w:t>产品介绍：</w:t>
      </w:r>
      <w:r>
        <w:rPr>
          <w:rFonts w:hint="eastAsia"/>
          <w:u w:val="single"/>
        </w:rPr>
        <w:t xml:space="preserve">    </w:t>
      </w:r>
      <w:r>
        <w:rPr>
          <w:u w:val="single"/>
        </w:rPr>
        <w:t>主要成分为五氧化二钒、硫酸和去离子水，密度1.5g/cm³</w:t>
      </w:r>
      <w:r>
        <w:rPr>
          <w:rFonts w:hint="eastAsia"/>
          <w:u w:val="single"/>
        </w:rPr>
        <w:t xml:space="preserve">    </w:t>
      </w:r>
    </w:p>
    <w:p w14:paraId="522135B1">
      <w:pPr>
        <w:pStyle w:val="27"/>
        <w:spacing w:after="0" w:line="360" w:lineRule="auto"/>
        <w:ind w:firstLine="420"/>
        <w:rPr>
          <w:u w:val="single"/>
        </w:rPr>
      </w:pPr>
      <w:r>
        <w:rPr>
          <w:rFonts w:hint="eastAsia"/>
        </w:rPr>
        <w:t>产品图片：</w:t>
      </w:r>
    </w:p>
    <w:p w14:paraId="5F159D04">
      <w:pPr>
        <w:pStyle w:val="27"/>
        <w:spacing w:after="0" w:line="360" w:lineRule="auto"/>
        <w:ind w:firstLine="0" w:firstLineChars="0"/>
      </w:pPr>
      <w:r>
        <w:rPr>
          <w:rFonts w:hint="eastAsia"/>
        </w:rPr>
        <w:t>3、量化方法</w:t>
      </w:r>
    </w:p>
    <w:p w14:paraId="5B359ADD">
      <w:pPr>
        <w:pStyle w:val="27"/>
        <w:spacing w:after="0" w:line="360" w:lineRule="auto"/>
        <w:ind w:firstLine="420"/>
      </w:pPr>
      <w:r>
        <w:rPr>
          <w:rFonts w:hint="eastAsia"/>
        </w:rPr>
        <w:t>依据标准：</w:t>
      </w:r>
      <w:r>
        <w:rPr>
          <w:rFonts w:hint="eastAsia"/>
          <w:u w:val="single"/>
        </w:rPr>
        <w:t xml:space="preserve">   </w:t>
      </w:r>
      <w:r>
        <w:rPr>
          <w:u w:val="single"/>
        </w:rPr>
        <w:t>DB</w:t>
      </w:r>
      <w:r>
        <w:rPr>
          <w:rFonts w:hint="eastAsia"/>
          <w:u w:val="single"/>
        </w:rPr>
        <w:t xml:space="preserve"> </w:t>
      </w:r>
      <w:r>
        <w:rPr>
          <w:u w:val="single"/>
        </w:rPr>
        <w:t>21/T XXXX—2025</w:t>
      </w:r>
      <w:r>
        <w:rPr>
          <w:rFonts w:hint="eastAsia"/>
          <w:u w:val="single"/>
        </w:rPr>
        <w:t xml:space="preserve">《全钒液流电池电解液产品碳足迹核算评价技术规范》                                        </w:t>
      </w:r>
      <w:r>
        <w:rPr>
          <w:rFonts w:hint="eastAsia"/>
        </w:rPr>
        <w:t xml:space="preserve"> </w:t>
      </w:r>
    </w:p>
    <w:p w14:paraId="3282E627">
      <w:pPr>
        <w:pStyle w:val="27"/>
        <w:spacing w:after="0" w:line="360" w:lineRule="auto"/>
        <w:ind w:firstLine="0" w:firstLineChars="0"/>
        <w:rPr>
          <w:b/>
          <w:bCs/>
          <w:sz w:val="24"/>
          <w:szCs w:val="22"/>
        </w:rPr>
      </w:pPr>
      <w:r>
        <w:rPr>
          <w:rFonts w:hint="eastAsia"/>
          <w:b/>
          <w:bCs/>
          <w:sz w:val="24"/>
          <w:szCs w:val="22"/>
        </w:rPr>
        <w:t>二、量化目的</w:t>
      </w:r>
    </w:p>
    <w:p w14:paraId="62C44626">
      <w:pPr>
        <w:pStyle w:val="27"/>
        <w:spacing w:after="0" w:line="360" w:lineRule="auto"/>
        <w:ind w:firstLine="420"/>
      </w:pPr>
      <w:r>
        <w:t>核算1kg全钒液流电池电解液产品从原材料获取到工厂交付的碳足迹，为企业碳减排提供数据支撑，满足客户低碳采购需求。</w:t>
      </w:r>
    </w:p>
    <w:p w14:paraId="1EC413CC">
      <w:pPr>
        <w:pStyle w:val="27"/>
        <w:spacing w:after="0" w:line="360" w:lineRule="auto"/>
        <w:ind w:firstLine="0" w:firstLineChars="0"/>
        <w:rPr>
          <w:b/>
          <w:bCs/>
          <w:sz w:val="24"/>
          <w:szCs w:val="22"/>
        </w:rPr>
      </w:pPr>
      <w:r>
        <w:rPr>
          <w:rFonts w:hint="eastAsia"/>
          <w:b/>
          <w:bCs/>
          <w:sz w:val="24"/>
          <w:szCs w:val="22"/>
        </w:rPr>
        <w:t>三、量化范围</w:t>
      </w:r>
    </w:p>
    <w:p w14:paraId="6338337A">
      <w:pPr>
        <w:pStyle w:val="27"/>
        <w:spacing w:after="0" w:line="360" w:lineRule="auto"/>
        <w:ind w:firstLine="0" w:firstLineChars="0"/>
      </w:pPr>
      <w:r>
        <w:rPr>
          <w:rFonts w:hint="eastAsia"/>
        </w:rPr>
        <w:t>1、功能单位或声明单位</w:t>
      </w:r>
    </w:p>
    <w:p w14:paraId="7E1BBC43">
      <w:pPr>
        <w:pStyle w:val="27"/>
        <w:spacing w:after="0" w:line="360" w:lineRule="auto"/>
        <w:ind w:firstLine="840" w:firstLineChars="400"/>
      </w:pPr>
      <w:r>
        <w:rPr>
          <w:rFonts w:hint="eastAsia"/>
        </w:rPr>
        <w:t>以</w:t>
      </w:r>
      <w:r>
        <w:rPr>
          <w:rFonts w:hint="eastAsia"/>
          <w:u w:val="single"/>
        </w:rPr>
        <w:t xml:space="preserve">    </w:t>
      </w:r>
      <w:r>
        <w:rPr>
          <w:u w:val="single"/>
        </w:rPr>
        <w:t>1 千克全钒液流电池电解液产品</w:t>
      </w:r>
      <w:r>
        <w:rPr>
          <w:rFonts w:hint="eastAsia"/>
          <w:u w:val="single"/>
        </w:rPr>
        <w:t xml:space="preserve">    </w:t>
      </w:r>
      <w:r>
        <w:rPr>
          <w:rFonts w:hint="eastAsia"/>
        </w:rPr>
        <w:t>为功能单位或声明单位。</w:t>
      </w:r>
    </w:p>
    <w:p w14:paraId="09125A98">
      <w:pPr>
        <w:pStyle w:val="27"/>
        <w:spacing w:after="0" w:line="360" w:lineRule="auto"/>
        <w:ind w:firstLine="0" w:firstLineChars="0"/>
      </w:pPr>
      <w:r>
        <w:rPr>
          <w:rFonts w:hint="eastAsia"/>
        </w:rPr>
        <w:t>2、系统边界</w:t>
      </w:r>
    </w:p>
    <w:p w14:paraId="202A1D43">
      <w:pPr>
        <w:pStyle w:val="27"/>
        <w:spacing w:after="0" w:line="360" w:lineRule="auto"/>
        <w:ind w:firstLine="840" w:firstLineChars="400"/>
      </w:pPr>
      <w:r>
        <w:rPr>
          <w:rFonts w:hint="eastAsia"/>
        </w:rPr>
        <w:sym w:font="Wingdings 2" w:char="F050"/>
      </w:r>
      <w:r>
        <w:rPr>
          <w:rFonts w:hint="eastAsia"/>
        </w:rPr>
        <w:t xml:space="preserve">原材料获取阶段  </w:t>
      </w:r>
      <w:r>
        <w:rPr>
          <w:rFonts w:hint="eastAsia"/>
        </w:rPr>
        <w:sym w:font="Wingdings 2" w:char="F050"/>
      </w:r>
      <w:r>
        <w:rPr>
          <w:rFonts w:hint="eastAsia"/>
        </w:rPr>
        <w:t xml:space="preserve">生产阶段  </w:t>
      </w:r>
      <w:r>
        <w:rPr>
          <w:rFonts w:hint="eastAsia"/>
        </w:rPr>
        <w:sym w:font="Wingdings 2" w:char="F050"/>
      </w:r>
      <w:r>
        <w:rPr>
          <w:rFonts w:hint="eastAsia"/>
        </w:rPr>
        <w:t xml:space="preserve">分销阶段  </w:t>
      </w:r>
      <w:r>
        <w:rPr>
          <w:rFonts w:hint="eastAsia"/>
        </w:rPr>
        <w:sym w:font="Wingdings" w:char="F0A8"/>
      </w:r>
      <w:r>
        <w:rPr>
          <w:rFonts w:hint="eastAsia"/>
        </w:rPr>
        <w:t xml:space="preserve">使用阶段  </w:t>
      </w:r>
      <w:r>
        <w:rPr>
          <w:rFonts w:hint="eastAsia"/>
        </w:rPr>
        <w:sym w:font="Wingdings" w:char="F0A8"/>
      </w:r>
      <w:r>
        <w:rPr>
          <w:rFonts w:hint="eastAsia"/>
        </w:rPr>
        <w:t>生命末期阶段</w:t>
      </w:r>
    </w:p>
    <w:p w14:paraId="0AB154FB">
      <w:pPr>
        <w:pStyle w:val="27"/>
        <w:spacing w:after="0" w:line="360" w:lineRule="auto"/>
        <w:ind w:firstLine="0" w:firstLineChars="0"/>
      </w:pPr>
      <w:r>
        <w:rPr>
          <w:rFonts w:hint="eastAsia"/>
        </w:rPr>
        <w:t>3、时间范围：</w:t>
      </w:r>
      <w:r>
        <w:rPr>
          <w:rFonts w:hint="eastAsia"/>
          <w:u w:val="single"/>
        </w:rPr>
        <w:t xml:space="preserve">   </w:t>
      </w:r>
      <w:r>
        <w:rPr>
          <w:u w:val="single"/>
        </w:rPr>
        <w:t>2024 年 1 月 1 日 —2024 年 12 月 31 日</w:t>
      </w:r>
      <w:r>
        <w:rPr>
          <w:rFonts w:hint="eastAsia"/>
          <w:u w:val="single"/>
        </w:rPr>
        <w:t xml:space="preserve">     </w:t>
      </w:r>
    </w:p>
    <w:p w14:paraId="5015D928">
      <w:pPr>
        <w:pStyle w:val="27"/>
        <w:spacing w:after="0" w:line="360" w:lineRule="auto"/>
        <w:ind w:firstLine="0" w:firstLineChars="0"/>
        <w:rPr>
          <w:b/>
          <w:bCs/>
          <w:sz w:val="24"/>
          <w:szCs w:val="22"/>
        </w:rPr>
      </w:pPr>
      <w:r>
        <w:rPr>
          <w:rFonts w:hint="eastAsia"/>
          <w:b/>
          <w:bCs/>
          <w:sz w:val="24"/>
          <w:szCs w:val="22"/>
        </w:rPr>
        <w:t>四、清单分析</w:t>
      </w:r>
    </w:p>
    <w:p w14:paraId="7138A14E">
      <w:pPr>
        <w:pStyle w:val="27"/>
        <w:spacing w:after="0" w:line="360" w:lineRule="auto"/>
        <w:ind w:firstLine="0" w:firstLineChars="0"/>
      </w:pPr>
      <w:r>
        <w:rPr>
          <w:rFonts w:hint="eastAsia"/>
        </w:rPr>
        <w:t>1、数据来源说明</w:t>
      </w:r>
    </w:p>
    <w:p w14:paraId="24911C02">
      <w:pPr>
        <w:pStyle w:val="27"/>
        <w:spacing w:after="0" w:line="360" w:lineRule="auto"/>
        <w:ind w:firstLine="420"/>
      </w:pPr>
      <w:r>
        <w:rPr>
          <w:rFonts w:hint="eastAsia"/>
        </w:rPr>
        <w:t xml:space="preserve">    初级数据：</w:t>
      </w:r>
      <w:r>
        <w:rPr>
          <w:rFonts w:hint="eastAsia"/>
          <w:u w:val="single"/>
        </w:rPr>
        <w:t xml:space="preserve">  </w:t>
      </w:r>
      <w:r>
        <w:rPr>
          <w:u w:val="single"/>
        </w:rPr>
        <w:t>钒矿石开采能耗（</w:t>
      </w:r>
      <w:r>
        <w:rPr>
          <w:rFonts w:hint="eastAsia"/>
          <w:u w:val="single"/>
        </w:rPr>
        <w:t>《沉积型钒矿绿色开采技术指南》(2021)</w:t>
      </w:r>
      <w:r>
        <w:rPr>
          <w:u w:val="single"/>
        </w:rPr>
        <w:t>）、生产用电数据（企业电表记录）</w:t>
      </w:r>
      <w:r>
        <w:rPr>
          <w:rFonts w:hint="eastAsia"/>
          <w:u w:val="single"/>
        </w:rPr>
        <w:t xml:space="preserve">     </w:t>
      </w:r>
    </w:p>
    <w:p w14:paraId="6DEC3724">
      <w:pPr>
        <w:pStyle w:val="27"/>
        <w:spacing w:after="0" w:line="360" w:lineRule="auto"/>
        <w:ind w:firstLine="420"/>
      </w:pPr>
      <w:r>
        <w:rPr>
          <w:rFonts w:hint="eastAsia"/>
        </w:rPr>
        <w:t xml:space="preserve">    次级数据：</w:t>
      </w:r>
      <w:r>
        <w:rPr>
          <w:rFonts w:hint="eastAsia"/>
          <w:u w:val="single"/>
        </w:rPr>
        <w:t xml:space="preserve">  生态环境部发布2022年电力二氧化碳排放因子</w:t>
      </w:r>
      <w:r>
        <w:rPr>
          <w:u w:val="single"/>
        </w:rPr>
        <w:t>、运输排放因子（交通运输部行业标准）</w:t>
      </w:r>
      <w:r>
        <w:rPr>
          <w:rFonts w:hint="eastAsia"/>
          <w:u w:val="single"/>
        </w:rPr>
        <w:t xml:space="preserve">、《企业温室气体排放核算与报告指南 发电设施》 (2024)）等   </w:t>
      </w:r>
    </w:p>
    <w:p w14:paraId="1A0C45AF">
      <w:pPr>
        <w:pStyle w:val="27"/>
        <w:spacing w:after="0" w:line="360" w:lineRule="auto"/>
        <w:ind w:firstLine="0" w:firstLineChars="0"/>
      </w:pPr>
      <w:r>
        <w:rPr>
          <w:rFonts w:hint="eastAsia"/>
        </w:rPr>
        <w:t>2、数据质量评价(可选项)</w:t>
      </w:r>
    </w:p>
    <w:p w14:paraId="63DA09BD">
      <w:pPr>
        <w:pStyle w:val="27"/>
        <w:spacing w:after="0" w:line="360" w:lineRule="auto"/>
        <w:ind w:firstLine="420"/>
      </w:pPr>
      <w:r>
        <w:rPr>
          <w:rFonts w:hint="eastAsia"/>
        </w:rPr>
        <w:t>数据质量可从定性和定量两个方面对报告使用的初级数据和次级数据进行评价，具体评价内容包括：数据来源、完整性、数据代表性(时间、地理、技术)和准确性。</w:t>
      </w:r>
    </w:p>
    <w:p w14:paraId="3EB47638">
      <w:pPr>
        <w:pStyle w:val="27"/>
        <w:spacing w:after="0" w:line="360" w:lineRule="auto"/>
        <w:ind w:left="360" w:firstLine="0" w:firstLineChars="0"/>
      </w:pPr>
      <w:r>
        <w:rPr>
          <w:b/>
          <w:bCs/>
        </w:rPr>
        <w:t>完整性</w:t>
      </w:r>
      <w:r>
        <w:t>：覆盖 98% 的原材料和能源投入</w:t>
      </w:r>
    </w:p>
    <w:p w14:paraId="2C282507">
      <w:pPr>
        <w:pStyle w:val="27"/>
        <w:spacing w:after="0" w:line="360" w:lineRule="auto"/>
        <w:ind w:firstLine="422"/>
      </w:pPr>
      <w:r>
        <w:rPr>
          <w:b/>
          <w:bCs/>
        </w:rPr>
        <w:t>代表性</w:t>
      </w:r>
      <w:r>
        <w:t>：采用全年连续生产数据，地理范围涵盖辽宁主要原辅料产地</w:t>
      </w:r>
    </w:p>
    <w:p w14:paraId="1B21397D">
      <w:pPr>
        <w:pStyle w:val="27"/>
        <w:spacing w:after="0" w:line="360" w:lineRule="auto"/>
        <w:ind w:firstLine="422"/>
      </w:pPr>
      <w:r>
        <w:rPr>
          <w:b/>
          <w:bCs/>
        </w:rPr>
        <w:t>准确性</w:t>
      </w:r>
      <w:r>
        <w:t>：关键数据经第三方机构验证，误差＜3%</w:t>
      </w:r>
    </w:p>
    <w:p w14:paraId="64A72FDF">
      <w:pPr>
        <w:pStyle w:val="27"/>
        <w:spacing w:after="0" w:line="360" w:lineRule="auto"/>
        <w:ind w:firstLine="0" w:firstLineChars="0"/>
        <w:rPr>
          <w:b/>
          <w:bCs/>
          <w:sz w:val="24"/>
          <w:szCs w:val="22"/>
        </w:rPr>
      </w:pPr>
      <w:r>
        <w:rPr>
          <w:rFonts w:hint="eastAsia"/>
          <w:b/>
          <w:bCs/>
          <w:sz w:val="24"/>
          <w:szCs w:val="22"/>
        </w:rPr>
        <w:t>五、影响评价</w:t>
      </w:r>
    </w:p>
    <w:p w14:paraId="7CE47871">
      <w:pPr>
        <w:pStyle w:val="27"/>
        <w:spacing w:after="0" w:line="360" w:lineRule="auto"/>
        <w:ind w:firstLine="0" w:firstLineChars="0"/>
      </w:pPr>
      <w:r>
        <w:rPr>
          <w:rFonts w:hint="eastAsia"/>
        </w:rPr>
        <w:t>1、影响类型和特征化因子选择</w:t>
      </w:r>
    </w:p>
    <w:p w14:paraId="63ED7F9C">
      <w:pPr>
        <w:pStyle w:val="27"/>
        <w:spacing w:after="0" w:line="360" w:lineRule="auto"/>
        <w:ind w:firstLine="420"/>
      </w:pPr>
      <w:r>
        <w:rPr>
          <w:rFonts w:hint="eastAsia"/>
        </w:rPr>
        <w:t>一般选择政府间气候变化专门委员会(IPCC)给出的100年全球变暖潜势(GWP)。</w:t>
      </w:r>
    </w:p>
    <w:p w14:paraId="2945678E">
      <w:pPr>
        <w:pStyle w:val="27"/>
        <w:spacing w:after="0" w:line="360" w:lineRule="auto"/>
        <w:ind w:firstLine="0" w:firstLineChars="0"/>
      </w:pPr>
      <w:r>
        <w:rPr>
          <w:rFonts w:hint="eastAsia"/>
        </w:rPr>
        <w:t>2、产品碳足迹结果计算</w:t>
      </w:r>
    </w:p>
    <w:p w14:paraId="2F132A23">
      <w:pPr>
        <w:pStyle w:val="32"/>
        <w:numPr>
          <w:ilvl w:val="0"/>
          <w:numId w:val="0"/>
        </w:numPr>
        <w:spacing w:line="240" w:lineRule="auto"/>
        <w:jc w:val="center"/>
      </w:pPr>
      <m:oMathPara>
        <m:oMath>
          <m:sSub>
            <m:sSubPr>
              <m:ctrlPr>
                <w:rPr>
                  <w:rFonts w:ascii="Cambria Math" w:hAnsi="Cambria Math"/>
                </w:rPr>
              </m:ctrlPr>
            </m:sSubPr>
            <m:e>
              <m:r>
                <m:rPr/>
                <w:rPr>
                  <w:rFonts w:ascii="Cambria Math" w:hAnsi="Cambria Math"/>
                </w:rPr>
                <m:t>E</m:t>
              </m:r>
              <m:ctrlPr>
                <w:rPr>
                  <w:rFonts w:ascii="Cambria Math" w:hAnsi="Cambria Math"/>
                </w:rPr>
              </m:ctrlPr>
            </m:e>
            <m:sub>
              <m:sSub>
                <m:sSubPr>
                  <m:ctrlPr>
                    <w:rPr>
                      <w:rFonts w:ascii="Cambria Math" w:hAnsi="Cambria Math"/>
                    </w:rPr>
                  </m:ctrlPr>
                </m:sSubPr>
                <m:e>
                  <m:r>
                    <m:rPr/>
                    <w:rPr>
                      <w:rFonts w:ascii="Cambria Math" w:hAnsi="Cambria Math"/>
                    </w:rPr>
                    <m:t>CO</m:t>
                  </m:r>
                  <m:ctrlPr>
                    <w:rPr>
                      <w:rFonts w:ascii="Cambria Math" w:hAnsi="Cambria Math"/>
                    </w:rPr>
                  </m:ctrlPr>
                </m:e>
                <m:sub>
                  <m:r>
                    <m:rPr>
                      <m:sty m:val="p"/>
                    </m:rPr>
                    <w:rPr>
                      <w:rFonts w:ascii="Cambria Math" w:hAnsi="Cambria Math"/>
                    </w:rPr>
                    <m:t>2</m:t>
                  </m:r>
                  <m:ctrlPr>
                    <w:rPr>
                      <w:rFonts w:ascii="Cambria Math" w:hAnsi="Cambria Math"/>
                    </w:rPr>
                  </m:ctrlPr>
                </m:sub>
              </m:sSub>
              <m:r>
                <m:rPr/>
                <w:rPr>
                  <w:rFonts w:hint="eastAsia" w:ascii="Cambria Math" w:hAnsi="Cambria Math"/>
                </w:rPr>
                <m:t>e</m:t>
              </m:r>
              <m:ctrlPr>
                <w:rPr>
                  <w:rFonts w:ascii="Cambria Math" w:hAnsi="Cambria Math"/>
                </w:rPr>
              </m:ctrlPr>
            </m:sub>
          </m:sSub>
          <m:r>
            <m:rPr>
              <m:sty m:val="p"/>
            </m:rPr>
            <w:rPr>
              <w:rFonts w:hint="eastAsia" w:ascii="Cambria Math" w:hAnsi="Cambria Math"/>
            </w:rPr>
            <m:t>=</m:t>
          </m:r>
          <m:nary>
            <m:naryPr>
              <m:chr m:val="∑"/>
              <m:limLoc m:val="undOvr"/>
              <m:ctrlPr>
                <w:rPr>
                  <w:rFonts w:ascii="Cambria Math" w:hAnsi="Cambria Math"/>
                </w:rPr>
              </m:ctrlPr>
            </m:naryPr>
            <m:sub>
              <m:r>
                <m:rPr/>
                <w:rPr>
                  <w:rFonts w:ascii="Cambria Math" w:hAnsi="Cambria Math"/>
                </w:rPr>
                <m:t>i</m:t>
              </m:r>
              <m:r>
                <m:rPr>
                  <m:sty m:val="p"/>
                </m:rPr>
                <w:rPr>
                  <w:rFonts w:ascii="Cambria Math" w:hAnsi="Cambria Math"/>
                </w:rPr>
                <m:t>=1</m:t>
              </m:r>
              <m:ctrlPr>
                <w:rPr>
                  <w:rFonts w:ascii="Cambria Math" w:hAnsi="Cambria Math"/>
                </w:rPr>
              </m:ctrlPr>
            </m:sub>
            <m:sup>
              <m:r>
                <m:rPr/>
                <w:rPr>
                  <w:rFonts w:hint="eastAsia" w:ascii="Cambria Math" w:hAnsi="Cambria Math"/>
                </w:rPr>
                <m:t>n</m:t>
              </m:r>
              <m:ctrlPr>
                <w:rPr>
                  <w:rFonts w:ascii="Cambria Math" w:hAnsi="Cambria Math"/>
                </w:rPr>
              </m:ctrlPr>
            </m:sup>
            <m:e>
              <m:r>
                <m:rPr>
                  <m:sty m:val="p"/>
                </m:rPr>
                <w:rPr>
                  <w:rFonts w:ascii="Cambria Math" w:hAnsi="Cambria Math"/>
                </w:rPr>
                <m:t>(</m:t>
              </m:r>
              <m:sSub>
                <m:sSubPr>
                  <m:ctrlPr>
                    <w:rPr>
                      <w:rFonts w:ascii="Cambria Math" w:hAnsi="Cambria Math"/>
                    </w:rPr>
                  </m:ctrlPr>
                </m:sSubPr>
                <m:e>
                  <m:r>
                    <m:rPr/>
                    <w:rPr>
                      <w:rFonts w:ascii="Cambria Math" w:hAnsi="Cambria Math"/>
                    </w:rPr>
                    <m:t>A</m:t>
                  </m:r>
                  <m:ctrlPr>
                    <w:rPr>
                      <w:rFonts w:ascii="Cambria Math" w:hAnsi="Cambria Math"/>
                    </w:rPr>
                  </m:ctrlPr>
                </m:e>
                <m:sub>
                  <m:r>
                    <m:rPr/>
                    <w:rPr>
                      <w:rFonts w:ascii="Cambria Math" w:hAnsi="Cambria Math"/>
                    </w:rPr>
                    <m:t>i</m:t>
                  </m:r>
                  <m:ctrlPr>
                    <w:rPr>
                      <w:rFonts w:ascii="Cambria Math" w:hAnsi="Cambria Math"/>
                    </w:rPr>
                  </m:ctrlPr>
                </m:sub>
              </m:sSub>
              <m:r>
                <m:rPr>
                  <m:sty m:val="p"/>
                </m:rPr>
                <w:rPr>
                  <w:rFonts w:ascii="Cambria Math" w:hAnsi="Cambria Math"/>
                </w:rPr>
                <m:t>×</m:t>
              </m:r>
              <m:r>
                <m:rPr/>
                <w:rPr>
                  <w:rFonts w:ascii="Cambria Math" w:hAnsi="Cambria Math"/>
                </w:rPr>
                <m:t>E</m:t>
              </m:r>
              <m:sSub>
                <m:sSubPr>
                  <m:ctrlPr>
                    <w:rPr>
                      <w:rFonts w:ascii="Cambria Math" w:hAnsi="Cambria Math"/>
                    </w:rPr>
                  </m:ctrlPr>
                </m:sSubPr>
                <m:e>
                  <m:r>
                    <m:rPr/>
                    <w:rPr>
                      <w:rFonts w:ascii="Cambria Math" w:hAnsi="Cambria Math"/>
                    </w:rPr>
                    <m:t>F</m:t>
                  </m:r>
                  <m:ctrlPr>
                    <w:rPr>
                      <w:rFonts w:ascii="Cambria Math" w:hAnsi="Cambria Math"/>
                    </w:rPr>
                  </m:ctrlPr>
                </m:e>
                <m:sub>
                  <m:r>
                    <m:rPr/>
                    <w:rPr>
                      <w:rFonts w:ascii="Cambria Math" w:hAnsi="Cambria Math"/>
                    </w:rPr>
                    <m:t>i</m:t>
                  </m:r>
                  <m:ctrlPr>
                    <w:rPr>
                      <w:rFonts w:ascii="Cambria Math" w:hAnsi="Cambria Math"/>
                    </w:rPr>
                  </m:ctrlPr>
                </m:sub>
              </m:sSub>
              <m:r>
                <m:rPr>
                  <m:sty m:val="p"/>
                </m:rPr>
                <w:rPr>
                  <w:rFonts w:ascii="Cambria Math" w:hAnsi="Cambria Math"/>
                </w:rPr>
                <m:t>×</m:t>
              </m:r>
              <m:r>
                <m:rPr/>
                <w:rPr>
                  <w:rFonts w:ascii="Cambria Math" w:hAnsi="Cambria Math"/>
                </w:rPr>
                <m:t>GW</m:t>
              </m:r>
              <m:sSub>
                <m:sSubPr>
                  <m:ctrlPr>
                    <w:rPr>
                      <w:rFonts w:ascii="Cambria Math" w:hAnsi="Cambria Math"/>
                    </w:rPr>
                  </m:ctrlPr>
                </m:sSubPr>
                <m:e>
                  <m:r>
                    <m:rPr/>
                    <w:rPr>
                      <w:rFonts w:ascii="Cambria Math" w:hAnsi="Cambria Math"/>
                    </w:rPr>
                    <m:t>P</m:t>
                  </m:r>
                  <m:ctrlPr>
                    <w:rPr>
                      <w:rFonts w:ascii="Cambria Math" w:hAnsi="Cambria Math"/>
                    </w:rPr>
                  </m:ctrlPr>
                </m:e>
                <m:sub>
                  <m:r>
                    <m:rPr/>
                    <w:rPr>
                      <w:rFonts w:ascii="Cambria Math" w:hAnsi="Cambria Math"/>
                    </w:rPr>
                    <m:t>i</m:t>
                  </m:r>
                  <m:ctrlPr>
                    <w:rPr>
                      <w:rFonts w:ascii="Cambria Math" w:hAnsi="Cambria Math"/>
                    </w:rPr>
                  </m:ctrlPr>
                </m:sub>
              </m:sSub>
              <m:ctrlPr>
                <w:rPr>
                  <w:rFonts w:ascii="Cambria Math" w:hAnsi="Cambria Math"/>
                </w:rPr>
              </m:ctrlPr>
            </m:e>
          </m:nary>
          <m:r>
            <m:rPr>
              <m:sty m:val="p"/>
            </m:rPr>
            <w:rPr>
              <w:rFonts w:ascii="Cambria Math" w:hAnsi="Cambria Math"/>
            </w:rPr>
            <m:t>)</m:t>
          </m:r>
        </m:oMath>
      </m:oMathPara>
    </w:p>
    <w:p w14:paraId="0D445038">
      <w:pPr>
        <w:pStyle w:val="32"/>
        <w:numPr>
          <w:ilvl w:val="0"/>
          <w:numId w:val="0"/>
        </w:numPr>
        <w:spacing w:line="240" w:lineRule="auto"/>
      </w:pPr>
      <w:r>
        <w:rPr>
          <w:rFonts w:hint="eastAsia"/>
        </w:rPr>
        <w:t>以1吨电解液生产为例：</w:t>
      </w:r>
    </w:p>
    <w:p w14:paraId="10C61D1C">
      <w:pPr>
        <w:pStyle w:val="32"/>
        <w:numPr>
          <w:ilvl w:val="0"/>
          <w:numId w:val="0"/>
        </w:numPr>
        <w:spacing w:line="240" w:lineRule="auto"/>
      </w:pPr>
      <w:r>
        <w:rPr>
          <w:rFonts w:hint="eastAsia"/>
        </w:rPr>
        <w:t>（1）原辅料和能源获取阶段：钒矿石开采阶段</w:t>
      </w:r>
    </w:p>
    <w:p w14:paraId="1B576775">
      <w:pPr>
        <w:pStyle w:val="32"/>
        <w:numPr>
          <w:ilvl w:val="0"/>
          <w:numId w:val="0"/>
        </w:numPr>
        <w:spacing w:line="240" w:lineRule="auto"/>
        <w:ind w:firstLine="420" w:firstLineChars="200"/>
      </w:pPr>
      <w:r>
        <w:rPr>
          <w:rFonts w:hint="eastAsia"/>
        </w:rPr>
        <w:t>耗电量：18kWh</w:t>
      </w:r>
    </w:p>
    <w:p w14:paraId="0328B465">
      <w:pPr>
        <w:pStyle w:val="32"/>
        <w:numPr>
          <w:ilvl w:val="0"/>
          <w:numId w:val="0"/>
        </w:numPr>
        <w:spacing w:line="240" w:lineRule="auto"/>
        <w:ind w:firstLine="420" w:firstLineChars="200"/>
      </w:pPr>
      <w:r>
        <w:rPr>
          <w:rFonts w:hint="eastAsia"/>
        </w:rPr>
        <w:t>排放因子：</w:t>
      </w:r>
      <w:r>
        <w:t>0.56kgCO₂/kWh</w:t>
      </w:r>
      <w:r>
        <w:rPr>
          <w:rFonts w:hint="eastAsia"/>
        </w:rPr>
        <w:t>（来源：生态环境部发布</w:t>
      </w:r>
      <w:r>
        <w:t>2022</w:t>
      </w:r>
      <w:r>
        <w:rPr>
          <w:rFonts w:hint="eastAsia"/>
        </w:rPr>
        <w:t>年电力二氧化碳排放因子）</w:t>
      </w:r>
    </w:p>
    <w:p w14:paraId="4B9D45B5">
      <w:pPr>
        <w:pStyle w:val="32"/>
        <w:numPr>
          <w:ilvl w:val="0"/>
          <w:numId w:val="0"/>
        </w:numPr>
        <w:spacing w:line="240" w:lineRule="auto"/>
        <w:ind w:firstLine="420" w:firstLineChars="200"/>
      </w:pPr>
      <w:r>
        <w:t>GWP</w:t>
      </w:r>
      <w:r>
        <w:rPr>
          <w:rFonts w:hint="eastAsia"/>
        </w:rPr>
        <w:t>（</w:t>
      </w:r>
      <w:r>
        <w:t>CO₂</w:t>
      </w:r>
      <w:r>
        <w:rPr>
          <w:rFonts w:hint="eastAsia"/>
        </w:rPr>
        <w:t>）：</w:t>
      </w:r>
      <w:r>
        <w:t>1</w:t>
      </w:r>
    </w:p>
    <w:p w14:paraId="6B880160">
      <w:pPr>
        <w:pStyle w:val="32"/>
        <w:numPr>
          <w:ilvl w:val="0"/>
          <w:numId w:val="0"/>
        </w:numPr>
        <w:spacing w:line="240" w:lineRule="auto"/>
        <w:ind w:firstLine="420" w:firstLineChars="200"/>
      </w:pPr>
      <w:r>
        <w:rPr>
          <w:rFonts w:hint="eastAsia"/>
        </w:rPr>
        <w:t>排放量</w:t>
      </w:r>
      <w:r>
        <w:t>=</w:t>
      </w:r>
      <w:r>
        <w:rPr>
          <w:rFonts w:hint="eastAsia"/>
        </w:rPr>
        <w:t>18</w:t>
      </w:r>
      <w:r>
        <w:t xml:space="preserve">×0.56×1 = </w:t>
      </w:r>
      <w:r>
        <w:rPr>
          <w:rFonts w:hint="eastAsia"/>
        </w:rPr>
        <w:t>10.08</w:t>
      </w:r>
      <w:r>
        <w:t>kgCO₂e</w:t>
      </w:r>
    </w:p>
    <w:p w14:paraId="64B2C27F">
      <w:pPr>
        <w:pStyle w:val="32"/>
        <w:numPr>
          <w:ilvl w:val="0"/>
          <w:numId w:val="0"/>
        </w:numPr>
        <w:spacing w:line="240" w:lineRule="auto"/>
      </w:pPr>
      <w:r>
        <w:rPr>
          <w:rFonts w:hint="eastAsia"/>
        </w:rPr>
        <w:t>（2）生产阶段：</w:t>
      </w:r>
    </w:p>
    <w:p w14:paraId="5BA9C1CD">
      <w:pPr>
        <w:pStyle w:val="32"/>
        <w:numPr>
          <w:ilvl w:val="0"/>
          <w:numId w:val="22"/>
        </w:numPr>
        <w:spacing w:line="240" w:lineRule="auto"/>
      </w:pPr>
      <w:r>
        <w:rPr>
          <w:rFonts w:hint="eastAsia"/>
        </w:rPr>
        <w:t>硫酸生产阶段</w:t>
      </w:r>
    </w:p>
    <w:p w14:paraId="1A7CAE1E">
      <w:pPr>
        <w:pStyle w:val="32"/>
        <w:numPr>
          <w:ilvl w:val="0"/>
          <w:numId w:val="0"/>
        </w:numPr>
        <w:spacing w:line="240" w:lineRule="auto"/>
        <w:ind w:firstLine="420" w:firstLineChars="200"/>
      </w:pPr>
      <w:r>
        <w:rPr>
          <w:rFonts w:hint="eastAsia"/>
        </w:rPr>
        <w:t>耗煤量：0.08吨</w:t>
      </w:r>
    </w:p>
    <w:p w14:paraId="3C3063CE">
      <w:pPr>
        <w:pStyle w:val="32"/>
        <w:numPr>
          <w:ilvl w:val="0"/>
          <w:numId w:val="0"/>
        </w:numPr>
        <w:spacing w:line="240" w:lineRule="auto"/>
        <w:ind w:firstLine="420" w:firstLineChars="200"/>
      </w:pPr>
      <w:r>
        <w:rPr>
          <w:rFonts w:hint="eastAsia"/>
        </w:rPr>
        <w:t>煤炭排放因子：</w:t>
      </w:r>
      <w:r>
        <w:t>2.66kgCO₂/kg</w:t>
      </w:r>
      <w:r>
        <w:rPr>
          <w:rFonts w:hint="eastAsia"/>
        </w:rPr>
        <w:t>（来源：《企业温室气体排放核算与报告指南 发电设施》 (2024)）</w:t>
      </w:r>
    </w:p>
    <w:p w14:paraId="2771A470">
      <w:pPr>
        <w:pStyle w:val="32"/>
        <w:numPr>
          <w:ilvl w:val="0"/>
          <w:numId w:val="0"/>
        </w:numPr>
        <w:spacing w:line="240" w:lineRule="auto"/>
        <w:ind w:firstLine="420" w:firstLineChars="200"/>
      </w:pPr>
      <w:r>
        <w:rPr>
          <w:rFonts w:hint="eastAsia"/>
        </w:rPr>
        <w:t>排放量</w:t>
      </w:r>
      <w:r>
        <w:t>=0.</w:t>
      </w:r>
      <w:r>
        <w:rPr>
          <w:rFonts w:hint="eastAsia"/>
        </w:rPr>
        <w:t>0</w:t>
      </w:r>
      <w:r>
        <w:t>8×1000×2.66×1 = 212</w:t>
      </w:r>
      <w:r>
        <w:rPr>
          <w:rFonts w:hint="eastAsia"/>
        </w:rPr>
        <w:t>.</w:t>
      </w:r>
      <w:r>
        <w:t>8kgCO₂e</w:t>
      </w:r>
    </w:p>
    <w:p w14:paraId="4DBE24EB">
      <w:pPr>
        <w:pStyle w:val="32"/>
        <w:numPr>
          <w:ilvl w:val="0"/>
          <w:numId w:val="22"/>
        </w:numPr>
        <w:spacing w:line="240" w:lineRule="auto"/>
      </w:pPr>
      <w:r>
        <w:rPr>
          <w:rFonts w:hint="eastAsia"/>
        </w:rPr>
        <w:t>生产用电阶段</w:t>
      </w:r>
    </w:p>
    <w:p w14:paraId="129B291C">
      <w:pPr>
        <w:pStyle w:val="32"/>
        <w:numPr>
          <w:ilvl w:val="0"/>
          <w:numId w:val="0"/>
        </w:numPr>
        <w:spacing w:line="240" w:lineRule="auto"/>
        <w:ind w:firstLine="420" w:firstLineChars="200"/>
      </w:pPr>
      <w:r>
        <w:rPr>
          <w:rFonts w:hint="eastAsia"/>
        </w:rPr>
        <w:t>耗电量：4500kWh</w:t>
      </w:r>
    </w:p>
    <w:p w14:paraId="6584D390">
      <w:pPr>
        <w:pStyle w:val="32"/>
        <w:numPr>
          <w:ilvl w:val="0"/>
          <w:numId w:val="0"/>
        </w:numPr>
        <w:spacing w:line="240" w:lineRule="auto"/>
        <w:ind w:firstLine="420" w:firstLineChars="200"/>
      </w:pPr>
      <w:r>
        <w:rPr>
          <w:rFonts w:hint="eastAsia"/>
        </w:rPr>
        <w:t>排放量</w:t>
      </w:r>
      <w:r>
        <w:t xml:space="preserve"> = </w:t>
      </w:r>
      <w:r>
        <w:rPr>
          <w:rFonts w:hint="eastAsia"/>
        </w:rPr>
        <w:t>4</w:t>
      </w:r>
      <w:r>
        <w:t xml:space="preserve">500×0.56×1 = </w:t>
      </w:r>
      <w:r>
        <w:rPr>
          <w:rFonts w:hint="eastAsia"/>
        </w:rPr>
        <w:t>2520</w:t>
      </w:r>
      <w:r>
        <w:t xml:space="preserve"> kgCO₂e</w:t>
      </w:r>
    </w:p>
    <w:p w14:paraId="71992023">
      <w:pPr>
        <w:pStyle w:val="32"/>
        <w:numPr>
          <w:ilvl w:val="0"/>
          <w:numId w:val="0"/>
        </w:numPr>
        <w:spacing w:line="240" w:lineRule="auto"/>
      </w:pPr>
      <w:r>
        <w:rPr>
          <w:rFonts w:hint="eastAsia"/>
        </w:rPr>
        <w:t>（3）厂内外运输：</w:t>
      </w:r>
    </w:p>
    <w:p w14:paraId="33B52496">
      <w:pPr>
        <w:pStyle w:val="32"/>
        <w:numPr>
          <w:ilvl w:val="0"/>
          <w:numId w:val="23"/>
        </w:numPr>
        <w:spacing w:line="240" w:lineRule="auto"/>
      </w:pPr>
      <w:r>
        <w:rPr>
          <w:rFonts w:hint="eastAsia"/>
        </w:rPr>
        <w:t>公路运输阶段</w:t>
      </w:r>
    </w:p>
    <w:p w14:paraId="47497033">
      <w:pPr>
        <w:pStyle w:val="32"/>
        <w:numPr>
          <w:ilvl w:val="0"/>
          <w:numId w:val="0"/>
        </w:numPr>
        <w:spacing w:line="240" w:lineRule="auto"/>
        <w:ind w:firstLine="420" w:firstLineChars="200"/>
      </w:pPr>
      <w:r>
        <w:rPr>
          <w:rFonts w:hint="eastAsia"/>
        </w:rPr>
        <w:t>钒矿石运输：200公里 ×1 吨 ×0.02L / 吨公里</w:t>
      </w:r>
    </w:p>
    <w:p w14:paraId="676228F8">
      <w:pPr>
        <w:pStyle w:val="32"/>
        <w:numPr>
          <w:ilvl w:val="0"/>
          <w:numId w:val="0"/>
        </w:numPr>
        <w:spacing w:line="240" w:lineRule="auto"/>
        <w:ind w:firstLine="420" w:firstLineChars="200"/>
      </w:pPr>
      <w:r>
        <w:rPr>
          <w:rFonts w:hint="eastAsia"/>
        </w:rPr>
        <w:t>油耗排放因子：</w:t>
      </w:r>
      <w:r>
        <w:t>2.68kgCO₂/L</w:t>
      </w:r>
      <w:r>
        <w:rPr>
          <w:rFonts w:hint="eastAsia"/>
        </w:rPr>
        <w:t>（柴油）</w:t>
      </w:r>
    </w:p>
    <w:p w14:paraId="3BCAA722">
      <w:pPr>
        <w:pStyle w:val="32"/>
        <w:numPr>
          <w:ilvl w:val="0"/>
          <w:numId w:val="0"/>
        </w:numPr>
        <w:spacing w:line="240" w:lineRule="auto"/>
        <w:ind w:firstLine="420" w:firstLineChars="200"/>
      </w:pPr>
      <w:r>
        <w:rPr>
          <w:rFonts w:hint="eastAsia"/>
        </w:rPr>
        <w:t>排放量</w:t>
      </w:r>
      <w:r>
        <w:t xml:space="preserve"> = 200×1×0.0</w:t>
      </w:r>
      <w:r>
        <w:rPr>
          <w:rFonts w:hint="eastAsia"/>
        </w:rPr>
        <w:t>2</w:t>
      </w:r>
      <w:r>
        <w:t xml:space="preserve">×2.68 = </w:t>
      </w:r>
      <w:r>
        <w:rPr>
          <w:rFonts w:hint="eastAsia"/>
        </w:rPr>
        <w:t>10.72</w:t>
      </w:r>
      <w:r>
        <w:t>kgCO₂e</w:t>
      </w:r>
    </w:p>
    <w:p w14:paraId="687A928C">
      <w:pPr>
        <w:pStyle w:val="32"/>
        <w:numPr>
          <w:ilvl w:val="0"/>
          <w:numId w:val="0"/>
        </w:numPr>
        <w:spacing w:line="240" w:lineRule="auto"/>
        <w:ind w:firstLine="420" w:firstLineChars="200"/>
      </w:pPr>
      <w:r>
        <w:rPr>
          <w:rFonts w:hint="eastAsia"/>
        </w:rPr>
        <w:t>硫酸公路运输：</w:t>
      </w:r>
      <w:r>
        <w:t>100</w:t>
      </w:r>
      <w:r>
        <w:rPr>
          <w:rFonts w:hint="eastAsia"/>
        </w:rPr>
        <w:t>公里</w:t>
      </w:r>
      <w:r>
        <w:t>×1</w:t>
      </w:r>
      <w:r>
        <w:rPr>
          <w:rFonts w:hint="eastAsia"/>
        </w:rPr>
        <w:t>吨</w:t>
      </w:r>
      <w:r>
        <w:t>×0.0</w:t>
      </w:r>
      <w:r>
        <w:rPr>
          <w:rFonts w:hint="eastAsia"/>
        </w:rPr>
        <w:t>2</w:t>
      </w:r>
      <w:r>
        <w:t xml:space="preserve">×2.68 = </w:t>
      </w:r>
      <w:r>
        <w:rPr>
          <w:rFonts w:hint="eastAsia"/>
        </w:rPr>
        <w:t>5.36</w:t>
      </w:r>
      <w:r>
        <w:t>kgCO₂e</w:t>
      </w:r>
    </w:p>
    <w:p w14:paraId="415504D6">
      <w:pPr>
        <w:pStyle w:val="32"/>
        <w:numPr>
          <w:ilvl w:val="0"/>
          <w:numId w:val="0"/>
        </w:numPr>
        <w:spacing w:line="240" w:lineRule="auto"/>
        <w:ind w:firstLine="420" w:firstLineChars="200"/>
      </w:pPr>
      <w:r>
        <w:rPr>
          <w:rFonts w:hint="eastAsia"/>
        </w:rPr>
        <w:t>成品运输：</w:t>
      </w:r>
      <w:r>
        <w:t>150</w:t>
      </w:r>
      <w:r>
        <w:rPr>
          <w:rFonts w:hint="eastAsia"/>
        </w:rPr>
        <w:t>公里</w:t>
      </w:r>
      <w:r>
        <w:t>×1</w:t>
      </w:r>
      <w:r>
        <w:rPr>
          <w:rFonts w:hint="eastAsia"/>
        </w:rPr>
        <w:t>吨</w:t>
      </w:r>
      <w:r>
        <w:t>×0.0</w:t>
      </w:r>
      <w:r>
        <w:rPr>
          <w:rFonts w:hint="eastAsia"/>
        </w:rPr>
        <w:t>2</w:t>
      </w:r>
      <w:r>
        <w:t xml:space="preserve">×2.68 = </w:t>
      </w:r>
      <w:r>
        <w:rPr>
          <w:rFonts w:hint="eastAsia"/>
        </w:rPr>
        <w:t>8.04</w:t>
      </w:r>
      <w:r>
        <w:t xml:space="preserve"> kgCO₂e</w:t>
      </w:r>
    </w:p>
    <w:p w14:paraId="75A768DF">
      <w:pPr>
        <w:pStyle w:val="32"/>
        <w:numPr>
          <w:ilvl w:val="0"/>
          <w:numId w:val="0"/>
        </w:numPr>
        <w:spacing w:line="240" w:lineRule="auto"/>
        <w:ind w:firstLine="420" w:firstLineChars="200"/>
      </w:pPr>
      <w:r>
        <w:rPr>
          <w:rFonts w:hint="eastAsia"/>
        </w:rPr>
        <w:t>公路运输总排放</w:t>
      </w:r>
      <w:r>
        <w:t xml:space="preserve">= </w:t>
      </w:r>
      <w:r>
        <w:rPr>
          <w:rFonts w:hint="eastAsia"/>
        </w:rPr>
        <w:t>10.72</w:t>
      </w:r>
      <w:r>
        <w:t>+</w:t>
      </w:r>
      <w:r>
        <w:rPr>
          <w:rFonts w:hint="eastAsia"/>
        </w:rPr>
        <w:t>5.36</w:t>
      </w:r>
      <w:r>
        <w:t>+</w:t>
      </w:r>
      <w:r>
        <w:rPr>
          <w:rFonts w:hint="eastAsia"/>
        </w:rPr>
        <w:t>8.04</w:t>
      </w:r>
      <w:r>
        <w:t xml:space="preserve"> = </w:t>
      </w:r>
      <w:r>
        <w:rPr>
          <w:rFonts w:hint="eastAsia"/>
        </w:rPr>
        <w:t>24.12</w:t>
      </w:r>
      <w:r>
        <w:t xml:space="preserve"> kgCO₂e</w:t>
      </w:r>
    </w:p>
    <w:p w14:paraId="326F18C4">
      <w:pPr>
        <w:pStyle w:val="32"/>
        <w:numPr>
          <w:ilvl w:val="0"/>
          <w:numId w:val="23"/>
        </w:numPr>
        <w:spacing w:line="240" w:lineRule="auto"/>
      </w:pPr>
      <w:r>
        <w:rPr>
          <w:rFonts w:hint="eastAsia"/>
        </w:rPr>
        <w:t>水路运输阶段</w:t>
      </w:r>
    </w:p>
    <w:p w14:paraId="6B15E474">
      <w:pPr>
        <w:pStyle w:val="32"/>
        <w:numPr>
          <w:ilvl w:val="0"/>
          <w:numId w:val="0"/>
        </w:numPr>
        <w:spacing w:line="240" w:lineRule="auto"/>
        <w:ind w:firstLine="420" w:firstLineChars="200"/>
      </w:pPr>
      <w:r>
        <w:rPr>
          <w:rFonts w:hint="eastAsia"/>
        </w:rPr>
        <w:t>硫酸水路运输：</w:t>
      </w:r>
    </w:p>
    <w:p w14:paraId="41EA1A65">
      <w:pPr>
        <w:pStyle w:val="32"/>
        <w:numPr>
          <w:ilvl w:val="0"/>
          <w:numId w:val="0"/>
        </w:numPr>
        <w:spacing w:line="240" w:lineRule="auto"/>
        <w:ind w:firstLine="420" w:firstLineChars="200"/>
      </w:pPr>
      <w:r>
        <w:t>300</w:t>
      </w:r>
      <w:r>
        <w:rPr>
          <w:rFonts w:hint="eastAsia"/>
        </w:rPr>
        <w:t>公里</w:t>
      </w:r>
      <w:r>
        <w:t>×1</w:t>
      </w:r>
      <w:r>
        <w:rPr>
          <w:rFonts w:hint="eastAsia"/>
        </w:rPr>
        <w:t>吨</w:t>
      </w:r>
      <w:r>
        <w:t>×0.0</w:t>
      </w:r>
      <w:r>
        <w:rPr>
          <w:rFonts w:hint="eastAsia"/>
        </w:rPr>
        <w:t>15</w:t>
      </w:r>
      <w:r>
        <w:t>L /</w:t>
      </w:r>
      <w:r>
        <w:rPr>
          <w:rFonts w:hint="eastAsia"/>
        </w:rPr>
        <w:t>吨公里</w:t>
      </w:r>
      <w:r>
        <w:t xml:space="preserve">×2.68kgCO₂/L= </w:t>
      </w:r>
      <w:r>
        <w:rPr>
          <w:rFonts w:hint="eastAsia"/>
        </w:rPr>
        <w:t>12.06</w:t>
      </w:r>
      <w:r>
        <w:t xml:space="preserve"> kgCO₂e</w:t>
      </w:r>
    </w:p>
    <w:p w14:paraId="4D037007">
      <w:pPr>
        <w:pStyle w:val="32"/>
        <w:numPr>
          <w:ilvl w:val="0"/>
          <w:numId w:val="0"/>
        </w:numPr>
        <w:spacing w:line="240" w:lineRule="auto"/>
      </w:pPr>
      <w:r>
        <w:rPr>
          <w:rFonts w:hint="eastAsia"/>
        </w:rPr>
        <w:t>（4）产品碳足迹汇总</w:t>
      </w:r>
    </w:p>
    <w:p w14:paraId="17EDA67F">
      <w:pPr>
        <w:pStyle w:val="32"/>
        <w:numPr>
          <w:ilvl w:val="0"/>
          <w:numId w:val="0"/>
        </w:numPr>
        <w:spacing w:line="240" w:lineRule="auto"/>
      </w:pPr>
      <m:oMathPara>
        <m:oMath>
          <m:r>
            <m:rPr/>
            <w:rPr>
              <w:rFonts w:ascii="Cambria Math" w:hAnsi="Cambria Math"/>
            </w:rPr>
            <m:t>PCF</m:t>
          </m:r>
          <m:r>
            <m:rPr>
              <m:sty m:val="p"/>
            </m:rPr>
            <w:rPr>
              <w:rFonts w:ascii="Cambria Math" w:hAnsi="Cambria Math"/>
            </w:rPr>
            <m:t>=</m:t>
          </m:r>
          <m:nary>
            <m:naryPr>
              <m:chr m:val="∑"/>
              <m:limLoc m:val="undOvr"/>
              <m:ctrlPr>
                <w:rPr>
                  <w:rFonts w:ascii="Cambria Math" w:hAnsi="Cambria Math"/>
                </w:rPr>
              </m:ctrlPr>
            </m:naryPr>
            <m:sub>
              <m:r>
                <m:rPr/>
                <w:rPr>
                  <w:rFonts w:ascii="Cambria Math" w:hAnsi="Cambria Math"/>
                </w:rPr>
                <m:t>j</m:t>
              </m:r>
              <m:r>
                <m:rPr>
                  <m:sty m:val="p"/>
                </m:rPr>
                <w:rPr>
                  <w:rFonts w:ascii="Cambria Math" w:hAnsi="Cambria Math"/>
                </w:rPr>
                <m:t>=1</m:t>
              </m:r>
              <m:ctrlPr>
                <w:rPr>
                  <w:rFonts w:ascii="Cambria Math" w:hAnsi="Cambria Math"/>
                </w:rPr>
              </m:ctrlPr>
            </m:sub>
            <m:sup>
              <m:r>
                <m:rPr/>
                <w:rPr>
                  <w:rFonts w:ascii="Cambria Math" w:hAnsi="Cambria Math"/>
                </w:rPr>
                <m:t>m</m:t>
              </m:r>
              <m:ctrlPr>
                <w:rPr>
                  <w:rFonts w:ascii="Cambria Math" w:hAnsi="Cambria Math"/>
                </w:rPr>
              </m:ctrlPr>
            </m:sup>
            <m:e>
              <m:sSub>
                <m:sSubPr>
                  <m:ctrlPr>
                    <w:rPr>
                      <w:rFonts w:ascii="Cambria Math" w:hAnsi="Cambria Math"/>
                    </w:rPr>
                  </m:ctrlPr>
                </m:sSubPr>
                <m:e>
                  <m:r>
                    <m:rPr/>
                    <w:rPr>
                      <w:rFonts w:ascii="Cambria Math" w:hAnsi="Cambria Math"/>
                    </w:rPr>
                    <m:t>E</m:t>
                  </m:r>
                  <m:ctrlPr>
                    <w:rPr>
                      <w:rFonts w:ascii="Cambria Math" w:hAnsi="Cambria Math"/>
                    </w:rPr>
                  </m:ctrlPr>
                </m:e>
                <m:sub>
                  <m:r>
                    <m:rPr/>
                    <w:rPr>
                      <w:rFonts w:ascii="Cambria Math" w:hAnsi="Cambria Math"/>
                    </w:rPr>
                    <m:t>j</m:t>
                  </m:r>
                  <m:ctrlPr>
                    <w:rPr>
                      <w:rFonts w:ascii="Cambria Math" w:hAnsi="Cambria Math"/>
                    </w:rPr>
                  </m:ctrlPr>
                </m:sub>
              </m:sSub>
              <m:ctrlPr>
                <w:rPr>
                  <w:rFonts w:ascii="Cambria Math" w:hAnsi="Cambria Math"/>
                </w:rPr>
              </m:ctrlPr>
            </m:e>
          </m:nary>
        </m:oMath>
      </m:oMathPara>
    </w:p>
    <w:p w14:paraId="13190379">
      <w:pPr>
        <w:pStyle w:val="32"/>
        <w:numPr>
          <w:ilvl w:val="0"/>
          <w:numId w:val="0"/>
        </w:numPr>
        <w:spacing w:line="240" w:lineRule="auto"/>
      </w:pPr>
      <w:r>
        <w:rPr>
          <w:rFonts w:hint="eastAsia"/>
        </w:rPr>
        <w:t>将各阶段排放量累加：</w:t>
      </w:r>
    </w:p>
    <w:p w14:paraId="100704D1">
      <w:pPr>
        <w:pStyle w:val="32"/>
        <w:numPr>
          <w:ilvl w:val="0"/>
          <w:numId w:val="0"/>
        </w:numPr>
        <w:spacing w:line="240" w:lineRule="auto"/>
        <w:ind w:firstLine="420" w:firstLineChars="200"/>
      </w:pPr>
      <w:r>
        <w:t>PCF=</w:t>
      </w:r>
      <w:r>
        <w:rPr>
          <w:rFonts w:hint="eastAsia"/>
        </w:rPr>
        <w:t>10.08（钒矿石）</w:t>
      </w:r>
      <w:r>
        <w:t>+212</w:t>
      </w:r>
      <w:r>
        <w:rPr>
          <w:rFonts w:hint="eastAsia"/>
        </w:rPr>
        <w:t>.</w:t>
      </w:r>
      <w:r>
        <w:t>8</w:t>
      </w:r>
      <w:r>
        <w:rPr>
          <w:rFonts w:hint="eastAsia"/>
        </w:rPr>
        <w:t>（硫酸）</w:t>
      </w:r>
      <w:r>
        <w:t>+</w:t>
      </w:r>
      <w:r>
        <w:rPr>
          <w:rFonts w:hint="eastAsia"/>
        </w:rPr>
        <w:t xml:space="preserve"> 2520（生产用电）</w:t>
      </w:r>
      <w:r>
        <w:t>+</w:t>
      </w:r>
      <w:r>
        <w:rPr>
          <w:rFonts w:hint="eastAsia"/>
        </w:rPr>
        <w:t xml:space="preserve"> 24.12（公路运输）</w:t>
      </w:r>
      <w:r>
        <w:t>+</w:t>
      </w:r>
      <w:r>
        <w:rPr>
          <w:rFonts w:hint="eastAsia"/>
        </w:rPr>
        <w:t xml:space="preserve"> 12.06（水路运输）</w:t>
      </w:r>
      <w:r>
        <w:t>=2</w:t>
      </w:r>
      <w:r>
        <w:rPr>
          <w:rFonts w:hint="eastAsia"/>
        </w:rPr>
        <w:t>779.06</w:t>
      </w:r>
      <w:r>
        <w:t xml:space="preserve"> kgCO₂e/</w:t>
      </w:r>
      <w:r>
        <w:rPr>
          <w:rFonts w:hint="eastAsia"/>
        </w:rPr>
        <w:t>吨</w:t>
      </w:r>
    </w:p>
    <w:p w14:paraId="7FED1D13">
      <w:pPr>
        <w:pStyle w:val="27"/>
        <w:spacing w:after="0" w:line="360" w:lineRule="auto"/>
        <w:ind w:firstLine="0" w:firstLineChars="0"/>
        <w:rPr>
          <w:b/>
          <w:bCs/>
          <w:sz w:val="24"/>
          <w:szCs w:val="22"/>
        </w:rPr>
      </w:pPr>
      <w:r>
        <w:rPr>
          <w:rFonts w:hint="eastAsia"/>
          <w:b/>
          <w:bCs/>
          <w:sz w:val="24"/>
          <w:szCs w:val="22"/>
        </w:rPr>
        <w:t>六、结果解释</w:t>
      </w:r>
    </w:p>
    <w:p w14:paraId="46816254">
      <w:pPr>
        <w:pStyle w:val="27"/>
        <w:spacing w:after="0" w:line="360" w:lineRule="auto"/>
        <w:ind w:firstLine="0" w:firstLineChars="0"/>
      </w:pPr>
      <w:r>
        <w:rPr>
          <w:rFonts w:hint="eastAsia"/>
        </w:rPr>
        <w:t>1、结果说明</w:t>
      </w:r>
    </w:p>
    <w:p w14:paraId="6CA6173D">
      <w:pPr>
        <w:pStyle w:val="27"/>
        <w:spacing w:after="0" w:line="360" w:lineRule="auto"/>
        <w:ind w:firstLine="420"/>
      </w:pPr>
      <w:r>
        <w:rPr>
          <w:rFonts w:hint="eastAsia"/>
          <w:u w:val="single"/>
        </w:rPr>
        <w:t xml:space="preserve">          ****        </w:t>
      </w:r>
      <w:r>
        <w:rPr>
          <w:rFonts w:hint="eastAsia"/>
        </w:rPr>
        <w:t>公司 (填写产品生产者的全名)生产的</w:t>
      </w:r>
      <w:r>
        <w:rPr>
          <w:rFonts w:hint="eastAsia"/>
          <w:u w:val="single"/>
        </w:rPr>
        <w:t xml:space="preserve">  </w:t>
      </w:r>
      <w:r>
        <w:rPr>
          <w:u w:val="single"/>
        </w:rPr>
        <w:t>全钒液流电池电解液</w:t>
      </w:r>
      <w:r>
        <w:rPr>
          <w:rFonts w:hint="eastAsia"/>
          <w:u w:val="single"/>
        </w:rPr>
        <w:t xml:space="preserve">  </w:t>
      </w:r>
      <w:r>
        <w:rPr>
          <w:rFonts w:hint="eastAsia"/>
        </w:rPr>
        <w:t>(填写所评价的产品名称，每功能单位的产品)，从</w:t>
      </w:r>
      <w:r>
        <w:rPr>
          <w:rFonts w:hint="eastAsia"/>
          <w:u w:val="single"/>
        </w:rPr>
        <w:t xml:space="preserve">   </w:t>
      </w:r>
      <w:r>
        <w:rPr>
          <w:u w:val="single"/>
        </w:rPr>
        <w:t>原材料获取</w:t>
      </w:r>
      <w:r>
        <w:rPr>
          <w:rFonts w:hint="eastAsia"/>
          <w:u w:val="single"/>
        </w:rPr>
        <w:t xml:space="preserve">   </w:t>
      </w:r>
      <w:r>
        <w:rPr>
          <w:rFonts w:hint="eastAsia"/>
        </w:rPr>
        <w:t xml:space="preserve">到 </w:t>
      </w:r>
      <w:r>
        <w:rPr>
          <w:rFonts w:hint="eastAsia"/>
          <w:u w:val="single"/>
        </w:rPr>
        <w:t xml:space="preserve"> </w:t>
      </w:r>
      <w:r>
        <w:rPr>
          <w:u w:val="single"/>
        </w:rPr>
        <w:t>工厂交付阶段</w:t>
      </w:r>
      <w:r>
        <w:rPr>
          <w:rFonts w:hint="eastAsia"/>
          <w:u w:val="single"/>
        </w:rPr>
        <w:t xml:space="preserve"> </w:t>
      </w:r>
      <w:r>
        <w:rPr>
          <w:rFonts w:hint="eastAsia"/>
        </w:rPr>
        <w:t xml:space="preserve"> (填写某生命周期阶段)生命周期碳足迹为</w:t>
      </w:r>
      <w:r>
        <w:rPr>
          <w:rFonts w:hint="eastAsia"/>
          <w:u w:val="single"/>
        </w:rPr>
        <w:t xml:space="preserve">  </w:t>
      </w:r>
      <w:r>
        <w:rPr>
          <w:b/>
          <w:bCs/>
          <w:u w:val="single"/>
        </w:rPr>
        <w:t>2779.06 kgCO₂e/</w:t>
      </w:r>
      <w:r>
        <w:rPr>
          <w:rFonts w:hint="eastAsia"/>
          <w:b/>
          <w:bCs/>
          <w:u w:val="single"/>
        </w:rPr>
        <w:t>吨</w:t>
      </w:r>
      <w:r>
        <w:rPr>
          <w:rFonts w:hint="eastAsia"/>
          <w:u w:val="single"/>
        </w:rPr>
        <w:t xml:space="preserve">   </w:t>
      </w:r>
      <w:r>
        <w:rPr>
          <w:rFonts w:hint="eastAsia"/>
        </w:rPr>
        <w:t xml:space="preserve">。 </w:t>
      </w:r>
    </w:p>
    <w:p w14:paraId="3AD6807D">
      <w:pPr>
        <w:pStyle w:val="27"/>
        <w:spacing w:after="0" w:line="360" w:lineRule="auto"/>
        <w:ind w:firstLine="0" w:firstLineChars="0"/>
      </w:pPr>
      <w:r>
        <w:rPr>
          <w:rFonts w:hint="eastAsia"/>
        </w:rPr>
        <w:t>2、改进建议</w:t>
      </w:r>
    </w:p>
    <w:p w14:paraId="520C02AB">
      <w:pPr>
        <w:pStyle w:val="27"/>
        <w:spacing w:after="0" w:line="360" w:lineRule="auto"/>
        <w:ind w:firstLine="420"/>
      </w:pPr>
      <w:r>
        <w:t>优化硫酸采购路径，优先选择光伏能源生产的绿硫酸</w:t>
      </w:r>
    </w:p>
    <w:p w14:paraId="31CF29FF">
      <w:pPr>
        <w:pStyle w:val="27"/>
        <w:spacing w:after="0" w:line="360" w:lineRule="auto"/>
        <w:ind w:firstLine="420"/>
      </w:pPr>
      <w:r>
        <w:t>改造生产设备，采用余热回收系统降低电力消耗</w:t>
      </w:r>
    </w:p>
    <w:p w14:paraId="738AE73D">
      <w:pPr>
        <w:pStyle w:val="27"/>
        <w:spacing w:after="0" w:line="360" w:lineRule="auto"/>
        <w:ind w:firstLine="420"/>
      </w:pPr>
      <w:r>
        <w:t>推动钒矿石短途运输，增加铁路运输比例</w:t>
      </w:r>
    </w:p>
    <w:p w14:paraId="22D1CED2">
      <w:pPr>
        <w:pStyle w:val="26"/>
        <w:adjustRightInd w:val="0"/>
        <w:snapToGrid w:val="0"/>
        <w:spacing w:after="0" w:line="276" w:lineRule="auto"/>
        <w:ind w:firstLine="198" w:firstLineChars="71"/>
        <w:jc w:val="left"/>
        <w:rPr>
          <w:rFonts w:hint="eastAsia" w:ascii="仿宋_GB2312" w:hAnsi="新宋体" w:eastAsia="仿宋_GB2312"/>
          <w:sz w:val="28"/>
          <w:szCs w:val="28"/>
        </w:rPr>
      </w:pPr>
    </w:p>
    <w:sectPr>
      <w:headerReference r:id="rId5" w:type="default"/>
      <w:footerReference r:id="rId6" w:type="default"/>
      <w:pgSz w:w="11906" w:h="16838"/>
      <w:pgMar w:top="1587" w:right="1531" w:bottom="1587" w:left="1531" w:header="851" w:footer="992" w:gutter="0"/>
      <w:pgNumType w:start="0"/>
      <w:cols w:space="720"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等线 Light">
    <w:altName w:val="宋体"/>
    <w:panose1 w:val="02010600030101010101"/>
    <w:charset w:val="86"/>
    <w:family w:val="auto"/>
    <w:pitch w:val="default"/>
    <w:sig w:usb0="00000000" w:usb1="00000000" w:usb2="00000016" w:usb3="00000000" w:csb0="0004000F" w:csb1="00000000"/>
  </w:font>
  <w:font w:name="Cambria">
    <w:altName w:val="FreeSerif"/>
    <w:panose1 w:val="02040503050406030204"/>
    <w:charset w:val="00"/>
    <w:family w:val="roman"/>
    <w:pitch w:val="default"/>
    <w:sig w:usb0="00000000" w:usb1="00000000" w:usb2="02000000" w:usb3="00000000" w:csb0="0000019F"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Verdana">
    <w:altName w:val="Ubuntu Light"/>
    <w:panose1 w:val="020B0604030504040204"/>
    <w:charset w:val="00"/>
    <w:family w:val="swiss"/>
    <w:pitch w:val="default"/>
    <w:sig w:usb0="00000000" w:usb1="00000000" w:usb2="00000010" w:usb3="00000000" w:csb0="0000019F" w:csb1="00000000"/>
  </w:font>
  <w:font w:name="Ubuntu Light">
    <w:panose1 w:val="020B0604030602030204"/>
    <w:charset w:val="00"/>
    <w:family w:val="auto"/>
    <w:pitch w:val="default"/>
    <w:sig w:usb0="E00002FF" w:usb1="5000205B" w:usb2="00000000" w:usb3="00000000" w:csb0="2000009F" w:csb1="5601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方正小标宋简体">
    <w:panose1 w:val="02000000000000000000"/>
    <w:charset w:val="86"/>
    <w:family w:val="auto"/>
    <w:pitch w:val="default"/>
    <w:sig w:usb0="A00002BF" w:usb1="184F6CFA" w:usb2="00000012" w:usb3="00000000" w:csb0="00040001" w:csb1="00000000"/>
  </w:font>
  <w:font w:name="Cambria Math">
    <w:altName w:val="DejaVu Math TeX Gyre"/>
    <w:panose1 w:val="02040503050406030204"/>
    <w:charset w:val="00"/>
    <w:family w:val="roman"/>
    <w:pitch w:val="default"/>
    <w:sig w:usb0="00000000" w:usb1="00000000" w:usb2="02000000" w:usb3="00000000" w:csb0="0000019F" w:csb1="00000000"/>
  </w:font>
  <w:font w:name="DejaVu Math TeX Gyre">
    <w:panose1 w:val="02000503000000000000"/>
    <w:charset w:val="00"/>
    <w:family w:val="auto"/>
    <w:pitch w:val="default"/>
    <w:sig w:usb0="A10000EF" w:usb1="4201F9EE" w:usb2="02000000" w:usb3="00000000" w:csb0="60000193" w:csb1="0DD4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4812E8">
    <w:pPr>
      <w:pStyle w:val="9"/>
      <w:framePr w:wrap="around" w:vAnchor="text" w:hAnchor="margin" w:xAlign="center" w:y="1"/>
      <w:rPr>
        <w:rStyle w:val="18"/>
      </w:rPr>
    </w:pPr>
    <w:r>
      <w:rPr>
        <w:rStyle w:val="18"/>
      </w:rPr>
      <w:fldChar w:fldCharType="begin"/>
    </w:r>
    <w:r>
      <w:rPr>
        <w:rStyle w:val="18"/>
      </w:rPr>
      <w:instrText xml:space="preserve">PAGE  </w:instrText>
    </w:r>
    <w:r>
      <w:rPr>
        <w:rStyle w:val="18"/>
      </w:rPr>
      <w:fldChar w:fldCharType="separate"/>
    </w:r>
    <w:r>
      <w:rPr>
        <w:rStyle w:val="18"/>
      </w:rPr>
      <w:t>1</w:t>
    </w:r>
    <w:r>
      <w:rPr>
        <w:rStyle w:val="18"/>
      </w:rPr>
      <w:fldChar w:fldCharType="end"/>
    </w:r>
  </w:p>
  <w:p w14:paraId="770A3B73">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4F187">
    <w:pPr>
      <w:pStyle w:val="10"/>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chineseCounting"/>
      <w:suff w:val="nothing"/>
      <w:lvlText w:val="（%1）"/>
      <w:lvlJc w:val="left"/>
      <w:rPr>
        <w:rFonts w:hint="eastAsia"/>
      </w:rPr>
    </w:lvl>
  </w:abstractNum>
  <w:abstractNum w:abstractNumId="1">
    <w:nsid w:val="00000002"/>
    <w:multiLevelType w:val="multilevel"/>
    <w:tmpl w:val="00000002"/>
    <w:lvl w:ilvl="0" w:tentative="0">
      <w:start w:val="1"/>
      <w:numFmt w:val="lowerLetter"/>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2">
    <w:nsid w:val="00000003"/>
    <w:multiLevelType w:val="multilevel"/>
    <w:tmpl w:val="00000003"/>
    <w:lvl w:ilvl="0" w:tentative="0">
      <w:start w:val="1"/>
      <w:numFmt w:val="none"/>
      <w:pStyle w:val="6"/>
      <w:lvlText w:val=""/>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4"/>
    <w:multiLevelType w:val="multilevel"/>
    <w:tmpl w:val="00000004"/>
    <w:lvl w:ilvl="0" w:tentative="0">
      <w:start w:val="1"/>
      <w:numFmt w:val="decimal"/>
      <w:pStyle w:val="49"/>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0000005"/>
    <w:multiLevelType w:val="multilevel"/>
    <w:tmpl w:val="00000005"/>
    <w:lvl w:ilvl="0" w:tentative="0">
      <w:start w:val="4"/>
      <w:numFmt w:val="chineseCountingThousand"/>
      <w:lvlText w:val="%1、"/>
      <w:lvlJc w:val="left"/>
      <w:pPr>
        <w:ind w:left="720" w:hanging="72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00000006"/>
    <w:multiLevelType w:val="multilevel"/>
    <w:tmpl w:val="00000006"/>
    <w:lvl w:ilvl="0" w:tentative="0">
      <w:start w:val="1"/>
      <w:numFmt w:val="decimal"/>
      <w:pStyle w:val="48"/>
      <w:suff w:val="nothing"/>
      <w:lvlText w:val="表%1　"/>
      <w:lvlJc w:val="left"/>
      <w:pPr>
        <w:ind w:left="388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00000007"/>
    <w:multiLevelType w:val="multilevel"/>
    <w:tmpl w:val="00000007"/>
    <w:lvl w:ilvl="0" w:tentative="0">
      <w:start w:val="1"/>
      <w:numFmt w:val="none"/>
      <w:suff w:val="nothing"/>
      <w:lvlText w:val=""/>
      <w:lvlJc w:val="left"/>
      <w:pPr>
        <w:ind w:left="0" w:firstLine="0"/>
      </w:pPr>
      <w:rPr>
        <w:rFonts w:hint="eastAsia"/>
      </w:rPr>
    </w:lvl>
    <w:lvl w:ilvl="1" w:tentative="0">
      <w:start w:val="1"/>
      <w:numFmt w:val="decimal"/>
      <w:pStyle w:val="28"/>
      <w:suff w:val="nothing"/>
      <w:lvlText w:val="%1%2　"/>
      <w:lvlJc w:val="left"/>
      <w:pPr>
        <w:ind w:left="0" w:firstLine="0"/>
      </w:pPr>
      <w:rPr>
        <w:rFonts w:hint="eastAsia" w:ascii="黑体" w:eastAsia="黑体"/>
        <w:b w:val="0"/>
        <w:i w:val="0"/>
        <w:sz w:val="21"/>
      </w:rPr>
    </w:lvl>
    <w:lvl w:ilvl="2" w:tentative="0">
      <w:start w:val="1"/>
      <w:numFmt w:val="decimal"/>
      <w:pStyle w:val="29"/>
      <w:lvlText w:val="4.%3"/>
      <w:lvlJc w:val="left"/>
      <w:pPr>
        <w:ind w:left="440" w:hanging="440"/>
      </w:pPr>
      <w:rPr>
        <w:rFonts w:hint="eastAsia"/>
      </w:rPr>
    </w:lvl>
    <w:lvl w:ilvl="3" w:tentative="0">
      <w:start w:val="1"/>
      <w:numFmt w:val="decimal"/>
      <w:pStyle w:val="30"/>
      <w:suff w:val="nothing"/>
      <w:lvlText w:val="%1%2.%3.%4　"/>
      <w:lvlJc w:val="left"/>
      <w:pPr>
        <w:ind w:left="1559" w:firstLine="0"/>
      </w:pPr>
      <w:rPr>
        <w:rFonts w:hint="eastAsia" w:ascii="黑体" w:eastAsia="黑体"/>
        <w:b w:val="0"/>
        <w:i w:val="0"/>
        <w:sz w:val="21"/>
      </w:rPr>
    </w:lvl>
    <w:lvl w:ilvl="4" w:tentative="0">
      <w:start w:val="1"/>
      <w:numFmt w:val="decimal"/>
      <w:pStyle w:val="31"/>
      <w:suff w:val="nothing"/>
      <w:lvlText w:val="%1%2.%3.%4.%5　"/>
      <w:lvlJc w:val="left"/>
      <w:pPr>
        <w:ind w:left="1559"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058D15D8"/>
    <w:multiLevelType w:val="multilevel"/>
    <w:tmpl w:val="058D15D8"/>
    <w:lvl w:ilvl="0" w:tentative="0">
      <w:start w:val="1"/>
      <w:numFmt w:val="bullet"/>
      <w:pStyle w:val="79"/>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8">
    <w:nsid w:val="07ED3FEA"/>
    <w:multiLevelType w:val="multilevel"/>
    <w:tmpl w:val="07ED3FEA"/>
    <w:lvl w:ilvl="0" w:tentative="0">
      <w:start w:val="1"/>
      <w:numFmt w:val="none"/>
      <w:pStyle w:val="70"/>
      <w:lvlText w:val="%1"/>
      <w:lvlJc w:val="left"/>
      <w:pPr>
        <w:ind w:left="425" w:hanging="425"/>
      </w:pPr>
      <w:rPr>
        <w:rFonts w:hint="eastAsia"/>
      </w:rPr>
    </w:lvl>
    <w:lvl w:ilvl="1" w:tentative="0">
      <w:start w:val="1"/>
      <w:numFmt w:val="decimal"/>
      <w:pStyle w:val="71"/>
      <w:suff w:val="nothing"/>
      <w:lvlText w:val="%10.%2 "/>
      <w:lvlJc w:val="left"/>
      <w:pPr>
        <w:ind w:left="0" w:firstLine="0"/>
      </w:pPr>
      <w:rPr>
        <w:rFonts w:hint="eastAsia" w:ascii="黑体" w:eastAsia="黑体" w:hAnsiTheme="minorHAnsi"/>
        <w:b w:val="0"/>
        <w:i w:val="0"/>
        <w:sz w:val="21"/>
      </w:rPr>
    </w:lvl>
    <w:lvl w:ilvl="2" w:tentative="0">
      <w:start w:val="1"/>
      <w:numFmt w:val="decimal"/>
      <w:pStyle w:val="72"/>
      <w:suff w:val="nothing"/>
      <w:lvlText w:val="%10.%2.%3 "/>
      <w:lvlJc w:val="left"/>
      <w:pPr>
        <w:ind w:left="0" w:firstLine="0"/>
      </w:pPr>
      <w:rPr>
        <w:rFonts w:hint="eastAsia" w:ascii="黑体" w:eastAsia="黑体" w:hAnsiTheme="minorHAnsi"/>
        <w:b w:val="0"/>
        <w:i w:val="0"/>
        <w:sz w:val="21"/>
      </w:rPr>
    </w:lvl>
    <w:lvl w:ilvl="3" w:tentative="0">
      <w:start w:val="1"/>
      <w:numFmt w:val="decimal"/>
      <w:pStyle w:val="73"/>
      <w:suff w:val="nothing"/>
      <w:lvlText w:val="%10.%2.%3.%4 "/>
      <w:lvlJc w:val="left"/>
      <w:pPr>
        <w:ind w:left="0" w:firstLine="0"/>
      </w:pPr>
      <w:rPr>
        <w:rFonts w:hint="eastAsia" w:ascii="黑体" w:eastAsia="黑体" w:hAnsiTheme="minorHAnsi"/>
        <w:b w:val="0"/>
        <w:i w:val="0"/>
        <w:sz w:val="21"/>
      </w:rPr>
    </w:lvl>
    <w:lvl w:ilvl="4" w:tentative="0">
      <w:start w:val="1"/>
      <w:numFmt w:val="decimal"/>
      <w:pStyle w:val="74"/>
      <w:suff w:val="nothing"/>
      <w:lvlText w:val="%10.%2.%3.%4.%5 "/>
      <w:lvlJc w:val="left"/>
      <w:pPr>
        <w:ind w:left="0" w:firstLine="0"/>
      </w:pPr>
      <w:rPr>
        <w:rFonts w:hint="eastAsia" w:ascii="黑体" w:eastAsia="黑体" w:hAnsiTheme="minorHAnsi"/>
        <w:b w:val="0"/>
        <w:i w:val="0"/>
        <w:sz w:val="21"/>
      </w:rPr>
    </w:lvl>
    <w:lvl w:ilvl="5" w:tentative="0">
      <w:start w:val="1"/>
      <w:numFmt w:val="decimal"/>
      <w:pStyle w:val="7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9">
    <w:nsid w:val="305F79B9"/>
    <w:multiLevelType w:val="multilevel"/>
    <w:tmpl w:val="305F79B9"/>
    <w:lvl w:ilvl="0" w:tentative="0">
      <w:start w:val="3"/>
      <w:numFmt w:val="chineseCountingThousand"/>
      <w:lvlText w:val="%1、"/>
      <w:lvlJc w:val="left"/>
      <w:pPr>
        <w:ind w:left="720" w:hanging="72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0">
    <w:nsid w:val="37922D7B"/>
    <w:multiLevelType w:val="multilevel"/>
    <w:tmpl w:val="37922D7B"/>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1">
    <w:nsid w:val="39D84C36"/>
    <w:multiLevelType w:val="multilevel"/>
    <w:tmpl w:val="39D84C36"/>
    <w:lvl w:ilvl="0" w:tentative="0">
      <w:start w:val="1"/>
      <w:numFmt w:val="lowerLetter"/>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2">
    <w:nsid w:val="44C50F90"/>
    <w:multiLevelType w:val="multilevel"/>
    <w:tmpl w:val="44C50F90"/>
    <w:lvl w:ilvl="0" w:tentative="0">
      <w:start w:val="1"/>
      <w:numFmt w:val="lowerLetter"/>
      <w:pStyle w:val="61"/>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53D780C"/>
    <w:multiLevelType w:val="multilevel"/>
    <w:tmpl w:val="453D780C"/>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4">
    <w:nsid w:val="478E481F"/>
    <w:multiLevelType w:val="multilevel"/>
    <w:tmpl w:val="478E481F"/>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5">
    <w:nsid w:val="50FB7E7A"/>
    <w:multiLevelType w:val="multilevel"/>
    <w:tmpl w:val="50FB7E7A"/>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6">
    <w:nsid w:val="557C2AF5"/>
    <w:multiLevelType w:val="multilevel"/>
    <w:tmpl w:val="557C2AF5"/>
    <w:lvl w:ilvl="0" w:tentative="0">
      <w:start w:val="1"/>
      <w:numFmt w:val="decimal"/>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603797C"/>
    <w:multiLevelType w:val="multilevel"/>
    <w:tmpl w:val="5603797C"/>
    <w:lvl w:ilvl="0" w:tentative="0">
      <w:start w:val="1"/>
      <w:numFmt w:val="upperLetter"/>
      <w:suff w:val="space"/>
      <w:lvlText w:val="%1"/>
      <w:lvlJc w:val="left"/>
      <w:pPr>
        <w:ind w:left="425" w:hanging="425"/>
      </w:pPr>
      <w:rPr>
        <w:rFonts w:hint="eastAsia"/>
      </w:rPr>
    </w:lvl>
    <w:lvl w:ilvl="1" w:tentative="0">
      <w:start w:val="1"/>
      <w:numFmt w:val="decimal"/>
      <w:pStyle w:val="5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8">
    <w:nsid w:val="646260FA"/>
    <w:multiLevelType w:val="multilevel"/>
    <w:tmpl w:val="646260FA"/>
    <w:lvl w:ilvl="0" w:tentative="0">
      <w:start w:val="1"/>
      <w:numFmt w:val="decimal"/>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9">
    <w:nsid w:val="657D3FBC"/>
    <w:multiLevelType w:val="multilevel"/>
    <w:tmpl w:val="657D3FBC"/>
    <w:lvl w:ilvl="0" w:tentative="0">
      <w:start w:val="1"/>
      <w:numFmt w:val="upperLetter"/>
      <w:pStyle w:val="62"/>
      <w:suff w:val="nothing"/>
      <w:lvlText w:val="附录%1"/>
      <w:lvlJc w:val="left"/>
      <w:pPr>
        <w:ind w:left="0" w:firstLine="0"/>
      </w:pPr>
      <w:rPr>
        <w:rFonts w:hint="eastAsia"/>
        <w:spacing w:val="100"/>
      </w:rPr>
    </w:lvl>
    <w:lvl w:ilvl="1" w:tentative="0">
      <w:start w:val="1"/>
      <w:numFmt w:val="decimal"/>
      <w:pStyle w:val="60"/>
      <w:suff w:val="nothing"/>
      <w:lvlText w:val="%1.%2　"/>
      <w:lvlJc w:val="left"/>
      <w:pPr>
        <w:ind w:left="567" w:firstLine="0"/>
      </w:pPr>
      <w:rPr>
        <w:rFonts w:hint="eastAsia" w:ascii="黑体" w:eastAsia="黑体"/>
        <w:b w:val="0"/>
        <w:i w:val="0"/>
        <w:sz w:val="21"/>
      </w:rPr>
    </w:lvl>
    <w:lvl w:ilvl="2" w:tentative="0">
      <w:start w:val="1"/>
      <w:numFmt w:val="decimal"/>
      <w:pStyle w:val="59"/>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0">
    <w:nsid w:val="681119E0"/>
    <w:multiLevelType w:val="multilevel"/>
    <w:tmpl w:val="681119E0"/>
    <w:lvl w:ilvl="0" w:tentative="0">
      <w:start w:val="1"/>
      <w:numFmt w:val="lowerLetter"/>
      <w:lvlText w:val="%1)"/>
      <w:lvlJc w:val="left"/>
      <w:pPr>
        <w:ind w:left="86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1">
    <w:nsid w:val="6E463F06"/>
    <w:multiLevelType w:val="multilevel"/>
    <w:tmpl w:val="6E463F06"/>
    <w:lvl w:ilvl="0" w:tentative="0">
      <w:start w:val="4"/>
      <w:numFmt w:val="japaneseCounting"/>
      <w:lvlText w:val="（%1）"/>
      <w:lvlJc w:val="left"/>
      <w:pPr>
        <w:ind w:left="855" w:hanging="855"/>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2">
    <w:nsid w:val="72A5029B"/>
    <w:multiLevelType w:val="multilevel"/>
    <w:tmpl w:val="72A5029B"/>
    <w:lvl w:ilvl="0" w:tentative="0">
      <w:start w:val="1"/>
      <w:numFmt w:val="chineseCountingThousand"/>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1"/>
  </w:num>
  <w:num w:numId="3">
    <w:abstractNumId w:val="6"/>
  </w:num>
  <w:num w:numId="4">
    <w:abstractNumId w:val="5"/>
  </w:num>
  <w:num w:numId="5">
    <w:abstractNumId w:val="3"/>
  </w:num>
  <w:num w:numId="6">
    <w:abstractNumId w:val="17"/>
  </w:num>
  <w:num w:numId="7">
    <w:abstractNumId w:val="19"/>
  </w:num>
  <w:num w:numId="8">
    <w:abstractNumId w:val="12"/>
  </w:num>
  <w:num w:numId="9">
    <w:abstractNumId w:val="8"/>
  </w:num>
  <w:num w:numId="10">
    <w:abstractNumId w:val="7"/>
  </w:num>
  <w:num w:numId="11">
    <w:abstractNumId w:val="22"/>
  </w:num>
  <w:num w:numId="12">
    <w:abstractNumId w:val="0"/>
  </w:num>
  <w:num w:numId="13">
    <w:abstractNumId w:val="9"/>
  </w:num>
  <w:num w:numId="14">
    <w:abstractNumId w:val="21"/>
  </w:num>
  <w:num w:numId="15">
    <w:abstractNumId w:val="13"/>
  </w:num>
  <w:num w:numId="16">
    <w:abstractNumId w:val="16"/>
  </w:num>
  <w:num w:numId="17">
    <w:abstractNumId w:val="18"/>
  </w:num>
  <w:num w:numId="18">
    <w:abstractNumId w:val="10"/>
  </w:num>
  <w:num w:numId="19">
    <w:abstractNumId w:val="15"/>
  </w:num>
  <w:num w:numId="20">
    <w:abstractNumId w:val="14"/>
  </w:num>
  <w:num w:numId="21">
    <w:abstractNumId w:val="4"/>
  </w:num>
  <w:num w:numId="22">
    <w:abstractNumId w:val="1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8"/>
  <w:doNotShadeFormData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I3ZjE1NzNhNTFhZjAyOWZlMTY0MmRhMTUxMGIwZWUifQ=="/>
  </w:docVars>
  <w:rsids>
    <w:rsidRoot w:val="00172A27"/>
    <w:rsid w:val="00010B1E"/>
    <w:rsid w:val="00012057"/>
    <w:rsid w:val="00012EA9"/>
    <w:rsid w:val="000148DB"/>
    <w:rsid w:val="00015047"/>
    <w:rsid w:val="00015E47"/>
    <w:rsid w:val="000203B8"/>
    <w:rsid w:val="00020D82"/>
    <w:rsid w:val="000219FE"/>
    <w:rsid w:val="000228AC"/>
    <w:rsid w:val="0002555A"/>
    <w:rsid w:val="000258D1"/>
    <w:rsid w:val="00025EF1"/>
    <w:rsid w:val="0003131D"/>
    <w:rsid w:val="00031CFC"/>
    <w:rsid w:val="000333F2"/>
    <w:rsid w:val="0003395F"/>
    <w:rsid w:val="00034D41"/>
    <w:rsid w:val="000357B2"/>
    <w:rsid w:val="0003616A"/>
    <w:rsid w:val="00042593"/>
    <w:rsid w:val="00043D94"/>
    <w:rsid w:val="00045891"/>
    <w:rsid w:val="000465E5"/>
    <w:rsid w:val="000519E1"/>
    <w:rsid w:val="00052264"/>
    <w:rsid w:val="00055034"/>
    <w:rsid w:val="00056685"/>
    <w:rsid w:val="00070AB6"/>
    <w:rsid w:val="00071431"/>
    <w:rsid w:val="000754AE"/>
    <w:rsid w:val="00082E94"/>
    <w:rsid w:val="00086C0B"/>
    <w:rsid w:val="0009046B"/>
    <w:rsid w:val="0009163A"/>
    <w:rsid w:val="00094631"/>
    <w:rsid w:val="00096AA5"/>
    <w:rsid w:val="00097F9C"/>
    <w:rsid w:val="000A031F"/>
    <w:rsid w:val="000A0C3D"/>
    <w:rsid w:val="000A4CCB"/>
    <w:rsid w:val="000A7451"/>
    <w:rsid w:val="000A7982"/>
    <w:rsid w:val="000A7E53"/>
    <w:rsid w:val="000B1A09"/>
    <w:rsid w:val="000B2BBF"/>
    <w:rsid w:val="000C03D8"/>
    <w:rsid w:val="000C07DB"/>
    <w:rsid w:val="000C1B4D"/>
    <w:rsid w:val="000C54DF"/>
    <w:rsid w:val="000C78B7"/>
    <w:rsid w:val="000D1259"/>
    <w:rsid w:val="000D2106"/>
    <w:rsid w:val="000D6A22"/>
    <w:rsid w:val="000E0296"/>
    <w:rsid w:val="000E1DDC"/>
    <w:rsid w:val="000E60F4"/>
    <w:rsid w:val="000F15F7"/>
    <w:rsid w:val="000F3A99"/>
    <w:rsid w:val="000F3E4B"/>
    <w:rsid w:val="000F76F0"/>
    <w:rsid w:val="000F7AB8"/>
    <w:rsid w:val="000F7F49"/>
    <w:rsid w:val="0010024E"/>
    <w:rsid w:val="001012F5"/>
    <w:rsid w:val="00101362"/>
    <w:rsid w:val="00103856"/>
    <w:rsid w:val="0010445D"/>
    <w:rsid w:val="00104CB5"/>
    <w:rsid w:val="00105439"/>
    <w:rsid w:val="00106B8B"/>
    <w:rsid w:val="00114A8F"/>
    <w:rsid w:val="00117595"/>
    <w:rsid w:val="00117B65"/>
    <w:rsid w:val="00120124"/>
    <w:rsid w:val="0012141F"/>
    <w:rsid w:val="00123959"/>
    <w:rsid w:val="00123DDA"/>
    <w:rsid w:val="00125F78"/>
    <w:rsid w:val="001262B0"/>
    <w:rsid w:val="001276A5"/>
    <w:rsid w:val="0013067B"/>
    <w:rsid w:val="00130DE0"/>
    <w:rsid w:val="00130E25"/>
    <w:rsid w:val="00131D17"/>
    <w:rsid w:val="00135779"/>
    <w:rsid w:val="00141ACF"/>
    <w:rsid w:val="0014359A"/>
    <w:rsid w:val="001445C5"/>
    <w:rsid w:val="00144EDF"/>
    <w:rsid w:val="001458C4"/>
    <w:rsid w:val="00145AE8"/>
    <w:rsid w:val="00145D9A"/>
    <w:rsid w:val="00145E37"/>
    <w:rsid w:val="00151E74"/>
    <w:rsid w:val="00152740"/>
    <w:rsid w:val="00155F4D"/>
    <w:rsid w:val="001564EF"/>
    <w:rsid w:val="00163754"/>
    <w:rsid w:val="00164CE5"/>
    <w:rsid w:val="001655C1"/>
    <w:rsid w:val="00165C04"/>
    <w:rsid w:val="001673CA"/>
    <w:rsid w:val="00172A27"/>
    <w:rsid w:val="00172DEF"/>
    <w:rsid w:val="00173261"/>
    <w:rsid w:val="0019690F"/>
    <w:rsid w:val="001969B7"/>
    <w:rsid w:val="001A122A"/>
    <w:rsid w:val="001A27CC"/>
    <w:rsid w:val="001A2A6D"/>
    <w:rsid w:val="001A2AE2"/>
    <w:rsid w:val="001A42AA"/>
    <w:rsid w:val="001A5298"/>
    <w:rsid w:val="001A6601"/>
    <w:rsid w:val="001B3893"/>
    <w:rsid w:val="001B7F1D"/>
    <w:rsid w:val="001C1817"/>
    <w:rsid w:val="001C323A"/>
    <w:rsid w:val="001D07A1"/>
    <w:rsid w:val="001D0812"/>
    <w:rsid w:val="001D1736"/>
    <w:rsid w:val="001D5FCB"/>
    <w:rsid w:val="001D6DFE"/>
    <w:rsid w:val="001D6FA9"/>
    <w:rsid w:val="001D71AE"/>
    <w:rsid w:val="001D7BEA"/>
    <w:rsid w:val="001E1E74"/>
    <w:rsid w:val="001E3358"/>
    <w:rsid w:val="001F2784"/>
    <w:rsid w:val="001F3EC3"/>
    <w:rsid w:val="001F4044"/>
    <w:rsid w:val="001F4815"/>
    <w:rsid w:val="002031AF"/>
    <w:rsid w:val="0020513D"/>
    <w:rsid w:val="00205BEF"/>
    <w:rsid w:val="002064F7"/>
    <w:rsid w:val="00206D35"/>
    <w:rsid w:val="002107F1"/>
    <w:rsid w:val="00211EED"/>
    <w:rsid w:val="0021446A"/>
    <w:rsid w:val="00217E25"/>
    <w:rsid w:val="0022033C"/>
    <w:rsid w:val="00220846"/>
    <w:rsid w:val="00223360"/>
    <w:rsid w:val="00223A46"/>
    <w:rsid w:val="002268B2"/>
    <w:rsid w:val="00230D68"/>
    <w:rsid w:val="002329D8"/>
    <w:rsid w:val="00232EA8"/>
    <w:rsid w:val="0023539C"/>
    <w:rsid w:val="002354AE"/>
    <w:rsid w:val="0023655E"/>
    <w:rsid w:val="00237736"/>
    <w:rsid w:val="0024282A"/>
    <w:rsid w:val="00242ED2"/>
    <w:rsid w:val="00244980"/>
    <w:rsid w:val="00250CB9"/>
    <w:rsid w:val="00254AB0"/>
    <w:rsid w:val="00255726"/>
    <w:rsid w:val="002571EC"/>
    <w:rsid w:val="00257C41"/>
    <w:rsid w:val="00260F96"/>
    <w:rsid w:val="00261F49"/>
    <w:rsid w:val="0026499B"/>
    <w:rsid w:val="002668B4"/>
    <w:rsid w:val="00267D00"/>
    <w:rsid w:val="002707ED"/>
    <w:rsid w:val="00271B6D"/>
    <w:rsid w:val="00273309"/>
    <w:rsid w:val="002772DC"/>
    <w:rsid w:val="00281927"/>
    <w:rsid w:val="00283504"/>
    <w:rsid w:val="00283A8A"/>
    <w:rsid w:val="00285C4B"/>
    <w:rsid w:val="002877E6"/>
    <w:rsid w:val="00291E39"/>
    <w:rsid w:val="00292B80"/>
    <w:rsid w:val="00293029"/>
    <w:rsid w:val="002930E2"/>
    <w:rsid w:val="002970B9"/>
    <w:rsid w:val="002A0D1A"/>
    <w:rsid w:val="002A1795"/>
    <w:rsid w:val="002A2717"/>
    <w:rsid w:val="002A29B7"/>
    <w:rsid w:val="002A35DA"/>
    <w:rsid w:val="002A494C"/>
    <w:rsid w:val="002A67D6"/>
    <w:rsid w:val="002A6ABE"/>
    <w:rsid w:val="002B124B"/>
    <w:rsid w:val="002C09B5"/>
    <w:rsid w:val="002C1665"/>
    <w:rsid w:val="002C1AC4"/>
    <w:rsid w:val="002C2421"/>
    <w:rsid w:val="002C30EA"/>
    <w:rsid w:val="002C6259"/>
    <w:rsid w:val="002C7537"/>
    <w:rsid w:val="002C76DA"/>
    <w:rsid w:val="002D3BD7"/>
    <w:rsid w:val="002D58AA"/>
    <w:rsid w:val="002D7561"/>
    <w:rsid w:val="002D7ED7"/>
    <w:rsid w:val="002F250D"/>
    <w:rsid w:val="002F55FF"/>
    <w:rsid w:val="002F62B4"/>
    <w:rsid w:val="002F6381"/>
    <w:rsid w:val="0030333E"/>
    <w:rsid w:val="003042C7"/>
    <w:rsid w:val="00306A97"/>
    <w:rsid w:val="00306C58"/>
    <w:rsid w:val="00307097"/>
    <w:rsid w:val="00312555"/>
    <w:rsid w:val="00314F5B"/>
    <w:rsid w:val="00320BB7"/>
    <w:rsid w:val="00322D70"/>
    <w:rsid w:val="00325289"/>
    <w:rsid w:val="003324EE"/>
    <w:rsid w:val="00336326"/>
    <w:rsid w:val="00337C19"/>
    <w:rsid w:val="00342412"/>
    <w:rsid w:val="00344A5A"/>
    <w:rsid w:val="00350AE8"/>
    <w:rsid w:val="00350BFD"/>
    <w:rsid w:val="00351871"/>
    <w:rsid w:val="00352F7B"/>
    <w:rsid w:val="0035307E"/>
    <w:rsid w:val="003533C5"/>
    <w:rsid w:val="0035531D"/>
    <w:rsid w:val="00355BEC"/>
    <w:rsid w:val="00355FB2"/>
    <w:rsid w:val="0035701D"/>
    <w:rsid w:val="0035709F"/>
    <w:rsid w:val="00362817"/>
    <w:rsid w:val="003630FF"/>
    <w:rsid w:val="0036442E"/>
    <w:rsid w:val="00364FF1"/>
    <w:rsid w:val="00370C90"/>
    <w:rsid w:val="00370F15"/>
    <w:rsid w:val="00373D5B"/>
    <w:rsid w:val="00377C1E"/>
    <w:rsid w:val="003832C8"/>
    <w:rsid w:val="003914C0"/>
    <w:rsid w:val="00391E5B"/>
    <w:rsid w:val="003922AC"/>
    <w:rsid w:val="0039411F"/>
    <w:rsid w:val="00395EFA"/>
    <w:rsid w:val="003967B8"/>
    <w:rsid w:val="00397286"/>
    <w:rsid w:val="003A5147"/>
    <w:rsid w:val="003B0634"/>
    <w:rsid w:val="003B15C7"/>
    <w:rsid w:val="003B247C"/>
    <w:rsid w:val="003B38D2"/>
    <w:rsid w:val="003B3C77"/>
    <w:rsid w:val="003C1DEF"/>
    <w:rsid w:val="003C336F"/>
    <w:rsid w:val="003C38A7"/>
    <w:rsid w:val="003C3EF2"/>
    <w:rsid w:val="003C5759"/>
    <w:rsid w:val="003C653E"/>
    <w:rsid w:val="003C6701"/>
    <w:rsid w:val="003D30A5"/>
    <w:rsid w:val="003D3939"/>
    <w:rsid w:val="003D4217"/>
    <w:rsid w:val="003D6EEC"/>
    <w:rsid w:val="003D7006"/>
    <w:rsid w:val="003E1C77"/>
    <w:rsid w:val="003E29FC"/>
    <w:rsid w:val="003E2A1C"/>
    <w:rsid w:val="003F2F8C"/>
    <w:rsid w:val="003F3A16"/>
    <w:rsid w:val="003F4946"/>
    <w:rsid w:val="003F6C71"/>
    <w:rsid w:val="003F787A"/>
    <w:rsid w:val="004020A4"/>
    <w:rsid w:val="00402C6B"/>
    <w:rsid w:val="00403C74"/>
    <w:rsid w:val="004070A0"/>
    <w:rsid w:val="004104EB"/>
    <w:rsid w:val="004106D8"/>
    <w:rsid w:val="0041186B"/>
    <w:rsid w:val="0042049B"/>
    <w:rsid w:val="00424E7E"/>
    <w:rsid w:val="00425729"/>
    <w:rsid w:val="00427247"/>
    <w:rsid w:val="0043015D"/>
    <w:rsid w:val="00432ABA"/>
    <w:rsid w:val="00433517"/>
    <w:rsid w:val="00434C3D"/>
    <w:rsid w:val="00434DFE"/>
    <w:rsid w:val="004357CB"/>
    <w:rsid w:val="0043642A"/>
    <w:rsid w:val="00437B92"/>
    <w:rsid w:val="004419E0"/>
    <w:rsid w:val="00441AD9"/>
    <w:rsid w:val="00443CE0"/>
    <w:rsid w:val="0044457A"/>
    <w:rsid w:val="00445C03"/>
    <w:rsid w:val="0045238E"/>
    <w:rsid w:val="00453FA3"/>
    <w:rsid w:val="004607F4"/>
    <w:rsid w:val="004635AD"/>
    <w:rsid w:val="00464184"/>
    <w:rsid w:val="004732C0"/>
    <w:rsid w:val="00473BFD"/>
    <w:rsid w:val="004745F3"/>
    <w:rsid w:val="00476581"/>
    <w:rsid w:val="0047682D"/>
    <w:rsid w:val="00476C24"/>
    <w:rsid w:val="00484573"/>
    <w:rsid w:val="004849E9"/>
    <w:rsid w:val="00484FD8"/>
    <w:rsid w:val="004939EE"/>
    <w:rsid w:val="00493C0F"/>
    <w:rsid w:val="00494D17"/>
    <w:rsid w:val="0049742E"/>
    <w:rsid w:val="004A0DA9"/>
    <w:rsid w:val="004A187E"/>
    <w:rsid w:val="004A3553"/>
    <w:rsid w:val="004A6072"/>
    <w:rsid w:val="004A6957"/>
    <w:rsid w:val="004B01C9"/>
    <w:rsid w:val="004B091A"/>
    <w:rsid w:val="004B0BCA"/>
    <w:rsid w:val="004B46FB"/>
    <w:rsid w:val="004B7180"/>
    <w:rsid w:val="004C1BC1"/>
    <w:rsid w:val="004C4BF5"/>
    <w:rsid w:val="004C69D4"/>
    <w:rsid w:val="004C78F4"/>
    <w:rsid w:val="004D21C9"/>
    <w:rsid w:val="004D283B"/>
    <w:rsid w:val="004D29C5"/>
    <w:rsid w:val="004D5F87"/>
    <w:rsid w:val="004E3FCD"/>
    <w:rsid w:val="004E5402"/>
    <w:rsid w:val="004F1A7F"/>
    <w:rsid w:val="004F1ED5"/>
    <w:rsid w:val="004F4DE5"/>
    <w:rsid w:val="004F7D14"/>
    <w:rsid w:val="00501272"/>
    <w:rsid w:val="0050156F"/>
    <w:rsid w:val="00506306"/>
    <w:rsid w:val="005074FF"/>
    <w:rsid w:val="00510D91"/>
    <w:rsid w:val="005121B0"/>
    <w:rsid w:val="00512613"/>
    <w:rsid w:val="005158ED"/>
    <w:rsid w:val="00522153"/>
    <w:rsid w:val="00523E9A"/>
    <w:rsid w:val="0052772C"/>
    <w:rsid w:val="00531759"/>
    <w:rsid w:val="00540D6C"/>
    <w:rsid w:val="00541C5B"/>
    <w:rsid w:val="005430B1"/>
    <w:rsid w:val="00560B00"/>
    <w:rsid w:val="00562A32"/>
    <w:rsid w:val="00564F9A"/>
    <w:rsid w:val="005676BF"/>
    <w:rsid w:val="00571214"/>
    <w:rsid w:val="0057169C"/>
    <w:rsid w:val="00575D0C"/>
    <w:rsid w:val="00576376"/>
    <w:rsid w:val="005778E3"/>
    <w:rsid w:val="00580D26"/>
    <w:rsid w:val="00583138"/>
    <w:rsid w:val="00584EBA"/>
    <w:rsid w:val="00585C95"/>
    <w:rsid w:val="00595124"/>
    <w:rsid w:val="005963E4"/>
    <w:rsid w:val="005A3229"/>
    <w:rsid w:val="005A3F01"/>
    <w:rsid w:val="005A655D"/>
    <w:rsid w:val="005B06D4"/>
    <w:rsid w:val="005B77E9"/>
    <w:rsid w:val="005C0FC3"/>
    <w:rsid w:val="005C29C4"/>
    <w:rsid w:val="005C3F2E"/>
    <w:rsid w:val="005C69F4"/>
    <w:rsid w:val="005C753E"/>
    <w:rsid w:val="005C7D61"/>
    <w:rsid w:val="005D12D4"/>
    <w:rsid w:val="005D1428"/>
    <w:rsid w:val="005D2089"/>
    <w:rsid w:val="005D4415"/>
    <w:rsid w:val="005D7A83"/>
    <w:rsid w:val="005E44BE"/>
    <w:rsid w:val="005E53E3"/>
    <w:rsid w:val="005E6AB1"/>
    <w:rsid w:val="005E6CD4"/>
    <w:rsid w:val="005E7A6E"/>
    <w:rsid w:val="005F0242"/>
    <w:rsid w:val="005F0C85"/>
    <w:rsid w:val="005F35E9"/>
    <w:rsid w:val="005F419B"/>
    <w:rsid w:val="005F4391"/>
    <w:rsid w:val="00602EE2"/>
    <w:rsid w:val="006033F7"/>
    <w:rsid w:val="0060495A"/>
    <w:rsid w:val="006050CF"/>
    <w:rsid w:val="0060561C"/>
    <w:rsid w:val="00606E3B"/>
    <w:rsid w:val="00610644"/>
    <w:rsid w:val="00612D57"/>
    <w:rsid w:val="0061315E"/>
    <w:rsid w:val="006140A3"/>
    <w:rsid w:val="00615AAD"/>
    <w:rsid w:val="00617DB2"/>
    <w:rsid w:val="00620B8F"/>
    <w:rsid w:val="00621B5A"/>
    <w:rsid w:val="006237A0"/>
    <w:rsid w:val="006249F7"/>
    <w:rsid w:val="006253D3"/>
    <w:rsid w:val="006324FF"/>
    <w:rsid w:val="0063380B"/>
    <w:rsid w:val="00635403"/>
    <w:rsid w:val="006408CE"/>
    <w:rsid w:val="00640F0C"/>
    <w:rsid w:val="00641355"/>
    <w:rsid w:val="006417C2"/>
    <w:rsid w:val="00641C84"/>
    <w:rsid w:val="006469A3"/>
    <w:rsid w:val="0064786E"/>
    <w:rsid w:val="0065350D"/>
    <w:rsid w:val="006625E2"/>
    <w:rsid w:val="006644E3"/>
    <w:rsid w:val="00665262"/>
    <w:rsid w:val="0066645A"/>
    <w:rsid w:val="00667F40"/>
    <w:rsid w:val="00667FD9"/>
    <w:rsid w:val="006704D7"/>
    <w:rsid w:val="00674150"/>
    <w:rsid w:val="006841B6"/>
    <w:rsid w:val="0068587A"/>
    <w:rsid w:val="00691201"/>
    <w:rsid w:val="00692365"/>
    <w:rsid w:val="00693F3C"/>
    <w:rsid w:val="006942BA"/>
    <w:rsid w:val="00694798"/>
    <w:rsid w:val="00697371"/>
    <w:rsid w:val="00697B3B"/>
    <w:rsid w:val="00697FA6"/>
    <w:rsid w:val="006A010F"/>
    <w:rsid w:val="006A329A"/>
    <w:rsid w:val="006A3BA1"/>
    <w:rsid w:val="006A4425"/>
    <w:rsid w:val="006A4836"/>
    <w:rsid w:val="006B1486"/>
    <w:rsid w:val="006B2EC5"/>
    <w:rsid w:val="006B424A"/>
    <w:rsid w:val="006B54AF"/>
    <w:rsid w:val="006B6B22"/>
    <w:rsid w:val="006B7E91"/>
    <w:rsid w:val="006C6142"/>
    <w:rsid w:val="006C63BB"/>
    <w:rsid w:val="006C7462"/>
    <w:rsid w:val="006D05BA"/>
    <w:rsid w:val="006D0C64"/>
    <w:rsid w:val="006D2C0D"/>
    <w:rsid w:val="006D7501"/>
    <w:rsid w:val="006D76B9"/>
    <w:rsid w:val="006E2545"/>
    <w:rsid w:val="006E5CE6"/>
    <w:rsid w:val="006E7BAE"/>
    <w:rsid w:val="006F4FC7"/>
    <w:rsid w:val="006F542D"/>
    <w:rsid w:val="006F5DFB"/>
    <w:rsid w:val="006F6CA2"/>
    <w:rsid w:val="00700D5E"/>
    <w:rsid w:val="00700E2C"/>
    <w:rsid w:val="00703E7B"/>
    <w:rsid w:val="00703FDC"/>
    <w:rsid w:val="0070536C"/>
    <w:rsid w:val="00705D75"/>
    <w:rsid w:val="007106D6"/>
    <w:rsid w:val="007150FF"/>
    <w:rsid w:val="00715AA4"/>
    <w:rsid w:val="007166FE"/>
    <w:rsid w:val="00716814"/>
    <w:rsid w:val="00721F8B"/>
    <w:rsid w:val="007225CD"/>
    <w:rsid w:val="00725EEF"/>
    <w:rsid w:val="00727044"/>
    <w:rsid w:val="00736C03"/>
    <w:rsid w:val="007406A3"/>
    <w:rsid w:val="0074478C"/>
    <w:rsid w:val="00754E83"/>
    <w:rsid w:val="007550A6"/>
    <w:rsid w:val="00761A3E"/>
    <w:rsid w:val="00762AB3"/>
    <w:rsid w:val="00763CC6"/>
    <w:rsid w:val="00766DBD"/>
    <w:rsid w:val="007706ED"/>
    <w:rsid w:val="00771653"/>
    <w:rsid w:val="007755D4"/>
    <w:rsid w:val="00775CCD"/>
    <w:rsid w:val="00776696"/>
    <w:rsid w:val="00780352"/>
    <w:rsid w:val="0078154B"/>
    <w:rsid w:val="00782F69"/>
    <w:rsid w:val="00784DA4"/>
    <w:rsid w:val="007864D4"/>
    <w:rsid w:val="00792FFC"/>
    <w:rsid w:val="00794BEE"/>
    <w:rsid w:val="00794D41"/>
    <w:rsid w:val="00796893"/>
    <w:rsid w:val="00796E75"/>
    <w:rsid w:val="007A4A60"/>
    <w:rsid w:val="007B2D00"/>
    <w:rsid w:val="007B32AF"/>
    <w:rsid w:val="007B4361"/>
    <w:rsid w:val="007B4E30"/>
    <w:rsid w:val="007B51E3"/>
    <w:rsid w:val="007B674B"/>
    <w:rsid w:val="007B78F0"/>
    <w:rsid w:val="007C19F9"/>
    <w:rsid w:val="007C25A1"/>
    <w:rsid w:val="007C314C"/>
    <w:rsid w:val="007C469D"/>
    <w:rsid w:val="007C6075"/>
    <w:rsid w:val="007C6BC2"/>
    <w:rsid w:val="007D1B3A"/>
    <w:rsid w:val="007D1F48"/>
    <w:rsid w:val="007D25FF"/>
    <w:rsid w:val="007D30D1"/>
    <w:rsid w:val="007D42D8"/>
    <w:rsid w:val="007D4E1C"/>
    <w:rsid w:val="007D73F0"/>
    <w:rsid w:val="007E5961"/>
    <w:rsid w:val="007E68B8"/>
    <w:rsid w:val="007F1152"/>
    <w:rsid w:val="007F2740"/>
    <w:rsid w:val="007F57E8"/>
    <w:rsid w:val="0080024B"/>
    <w:rsid w:val="0080111A"/>
    <w:rsid w:val="00802344"/>
    <w:rsid w:val="00802504"/>
    <w:rsid w:val="00805613"/>
    <w:rsid w:val="00805BF9"/>
    <w:rsid w:val="00806E78"/>
    <w:rsid w:val="008109F9"/>
    <w:rsid w:val="00811F2E"/>
    <w:rsid w:val="00813695"/>
    <w:rsid w:val="00814A1F"/>
    <w:rsid w:val="00814F86"/>
    <w:rsid w:val="00820C63"/>
    <w:rsid w:val="00821B5B"/>
    <w:rsid w:val="00822CE7"/>
    <w:rsid w:val="00825B4C"/>
    <w:rsid w:val="00831BAF"/>
    <w:rsid w:val="008320AC"/>
    <w:rsid w:val="00835237"/>
    <w:rsid w:val="008364BD"/>
    <w:rsid w:val="00840BD6"/>
    <w:rsid w:val="00842AD9"/>
    <w:rsid w:val="00844899"/>
    <w:rsid w:val="00847A3E"/>
    <w:rsid w:val="0085010C"/>
    <w:rsid w:val="0085229A"/>
    <w:rsid w:val="008528ED"/>
    <w:rsid w:val="0085427F"/>
    <w:rsid w:val="00856A0A"/>
    <w:rsid w:val="008613A1"/>
    <w:rsid w:val="008661E2"/>
    <w:rsid w:val="00866A5A"/>
    <w:rsid w:val="008679E9"/>
    <w:rsid w:val="008706D6"/>
    <w:rsid w:val="00875324"/>
    <w:rsid w:val="00876EDD"/>
    <w:rsid w:val="00877BB5"/>
    <w:rsid w:val="00880EF7"/>
    <w:rsid w:val="00882168"/>
    <w:rsid w:val="00882DC5"/>
    <w:rsid w:val="00885199"/>
    <w:rsid w:val="00885869"/>
    <w:rsid w:val="008904A7"/>
    <w:rsid w:val="008910C1"/>
    <w:rsid w:val="008931BE"/>
    <w:rsid w:val="00894186"/>
    <w:rsid w:val="00895BAE"/>
    <w:rsid w:val="008A07DF"/>
    <w:rsid w:val="008A28DD"/>
    <w:rsid w:val="008A2FEB"/>
    <w:rsid w:val="008A41F6"/>
    <w:rsid w:val="008A5E83"/>
    <w:rsid w:val="008A7409"/>
    <w:rsid w:val="008A794E"/>
    <w:rsid w:val="008B074E"/>
    <w:rsid w:val="008B0FBA"/>
    <w:rsid w:val="008B5943"/>
    <w:rsid w:val="008C089D"/>
    <w:rsid w:val="008C1C74"/>
    <w:rsid w:val="008C347F"/>
    <w:rsid w:val="008C559B"/>
    <w:rsid w:val="008C69D7"/>
    <w:rsid w:val="008D2AA5"/>
    <w:rsid w:val="008D2C71"/>
    <w:rsid w:val="008D49DD"/>
    <w:rsid w:val="008D6E32"/>
    <w:rsid w:val="008E141D"/>
    <w:rsid w:val="008E1E8C"/>
    <w:rsid w:val="008E2785"/>
    <w:rsid w:val="008E2D1E"/>
    <w:rsid w:val="008E7F33"/>
    <w:rsid w:val="008F1AF0"/>
    <w:rsid w:val="008F30B4"/>
    <w:rsid w:val="008F316B"/>
    <w:rsid w:val="008F7652"/>
    <w:rsid w:val="008F76AE"/>
    <w:rsid w:val="008F7DD5"/>
    <w:rsid w:val="009051A8"/>
    <w:rsid w:val="00907606"/>
    <w:rsid w:val="0091675D"/>
    <w:rsid w:val="00917E34"/>
    <w:rsid w:val="00921BFB"/>
    <w:rsid w:val="00922DC3"/>
    <w:rsid w:val="0092362A"/>
    <w:rsid w:val="0092444A"/>
    <w:rsid w:val="00924548"/>
    <w:rsid w:val="009245EF"/>
    <w:rsid w:val="00925718"/>
    <w:rsid w:val="00927CCC"/>
    <w:rsid w:val="009317FF"/>
    <w:rsid w:val="00931BF1"/>
    <w:rsid w:val="0093262F"/>
    <w:rsid w:val="00934987"/>
    <w:rsid w:val="00934BEE"/>
    <w:rsid w:val="0093564B"/>
    <w:rsid w:val="009358A3"/>
    <w:rsid w:val="00941534"/>
    <w:rsid w:val="00941679"/>
    <w:rsid w:val="009459C4"/>
    <w:rsid w:val="009510E2"/>
    <w:rsid w:val="00953EFD"/>
    <w:rsid w:val="0095466F"/>
    <w:rsid w:val="0095631D"/>
    <w:rsid w:val="00965F76"/>
    <w:rsid w:val="00966C91"/>
    <w:rsid w:val="00967448"/>
    <w:rsid w:val="00967E4C"/>
    <w:rsid w:val="009727C3"/>
    <w:rsid w:val="009730E4"/>
    <w:rsid w:val="00974082"/>
    <w:rsid w:val="00975D98"/>
    <w:rsid w:val="0097690E"/>
    <w:rsid w:val="00976910"/>
    <w:rsid w:val="00980189"/>
    <w:rsid w:val="009802B1"/>
    <w:rsid w:val="009848FF"/>
    <w:rsid w:val="00985625"/>
    <w:rsid w:val="00986A39"/>
    <w:rsid w:val="0099108F"/>
    <w:rsid w:val="00992789"/>
    <w:rsid w:val="00993DF8"/>
    <w:rsid w:val="00995724"/>
    <w:rsid w:val="00995AF3"/>
    <w:rsid w:val="009974A4"/>
    <w:rsid w:val="00997F0A"/>
    <w:rsid w:val="009A3205"/>
    <w:rsid w:val="009A44C4"/>
    <w:rsid w:val="009A45F4"/>
    <w:rsid w:val="009A6E39"/>
    <w:rsid w:val="009A758B"/>
    <w:rsid w:val="009B0B84"/>
    <w:rsid w:val="009B0D81"/>
    <w:rsid w:val="009B1332"/>
    <w:rsid w:val="009B218C"/>
    <w:rsid w:val="009B28C7"/>
    <w:rsid w:val="009B2DCD"/>
    <w:rsid w:val="009B5B2E"/>
    <w:rsid w:val="009B5CF6"/>
    <w:rsid w:val="009B7172"/>
    <w:rsid w:val="009C0412"/>
    <w:rsid w:val="009C1635"/>
    <w:rsid w:val="009C1705"/>
    <w:rsid w:val="009C3299"/>
    <w:rsid w:val="009C34D9"/>
    <w:rsid w:val="009C3848"/>
    <w:rsid w:val="009C398B"/>
    <w:rsid w:val="009C437D"/>
    <w:rsid w:val="009C452A"/>
    <w:rsid w:val="009C64A0"/>
    <w:rsid w:val="009C65BD"/>
    <w:rsid w:val="009C6E41"/>
    <w:rsid w:val="009C77F4"/>
    <w:rsid w:val="009C7E57"/>
    <w:rsid w:val="009D7127"/>
    <w:rsid w:val="009D7CA4"/>
    <w:rsid w:val="009E3320"/>
    <w:rsid w:val="009E3D21"/>
    <w:rsid w:val="009E4224"/>
    <w:rsid w:val="009E5D14"/>
    <w:rsid w:val="009E79E3"/>
    <w:rsid w:val="009F358F"/>
    <w:rsid w:val="009F576D"/>
    <w:rsid w:val="009F5B8A"/>
    <w:rsid w:val="009F5F35"/>
    <w:rsid w:val="009F671B"/>
    <w:rsid w:val="009F6980"/>
    <w:rsid w:val="009F75AC"/>
    <w:rsid w:val="009F7C43"/>
    <w:rsid w:val="00A006F9"/>
    <w:rsid w:val="00A00A20"/>
    <w:rsid w:val="00A019DB"/>
    <w:rsid w:val="00A02730"/>
    <w:rsid w:val="00A04589"/>
    <w:rsid w:val="00A06082"/>
    <w:rsid w:val="00A076BF"/>
    <w:rsid w:val="00A07B02"/>
    <w:rsid w:val="00A125D3"/>
    <w:rsid w:val="00A130CE"/>
    <w:rsid w:val="00A16867"/>
    <w:rsid w:val="00A222DA"/>
    <w:rsid w:val="00A2317D"/>
    <w:rsid w:val="00A301CA"/>
    <w:rsid w:val="00A3159F"/>
    <w:rsid w:val="00A362FB"/>
    <w:rsid w:val="00A42B5F"/>
    <w:rsid w:val="00A4424F"/>
    <w:rsid w:val="00A46600"/>
    <w:rsid w:val="00A46780"/>
    <w:rsid w:val="00A47399"/>
    <w:rsid w:val="00A53723"/>
    <w:rsid w:val="00A55810"/>
    <w:rsid w:val="00A55B8B"/>
    <w:rsid w:val="00A62811"/>
    <w:rsid w:val="00A63FEB"/>
    <w:rsid w:val="00A655EE"/>
    <w:rsid w:val="00A66740"/>
    <w:rsid w:val="00A72043"/>
    <w:rsid w:val="00A72820"/>
    <w:rsid w:val="00A72A5C"/>
    <w:rsid w:val="00A745D3"/>
    <w:rsid w:val="00A76DAC"/>
    <w:rsid w:val="00A80202"/>
    <w:rsid w:val="00A807CC"/>
    <w:rsid w:val="00A84DF9"/>
    <w:rsid w:val="00A86273"/>
    <w:rsid w:val="00A8660E"/>
    <w:rsid w:val="00A901D4"/>
    <w:rsid w:val="00A906CD"/>
    <w:rsid w:val="00A91790"/>
    <w:rsid w:val="00A935B0"/>
    <w:rsid w:val="00A935B7"/>
    <w:rsid w:val="00A94A3B"/>
    <w:rsid w:val="00A956CA"/>
    <w:rsid w:val="00AA53F1"/>
    <w:rsid w:val="00AA5C11"/>
    <w:rsid w:val="00AB3E77"/>
    <w:rsid w:val="00AB62B8"/>
    <w:rsid w:val="00AC2A04"/>
    <w:rsid w:val="00AC3209"/>
    <w:rsid w:val="00AD375C"/>
    <w:rsid w:val="00AD67DE"/>
    <w:rsid w:val="00AD6A37"/>
    <w:rsid w:val="00AE0C53"/>
    <w:rsid w:val="00AE0DEE"/>
    <w:rsid w:val="00AE322C"/>
    <w:rsid w:val="00AF1584"/>
    <w:rsid w:val="00AF1831"/>
    <w:rsid w:val="00B069EE"/>
    <w:rsid w:val="00B072F0"/>
    <w:rsid w:val="00B111DD"/>
    <w:rsid w:val="00B140A1"/>
    <w:rsid w:val="00B14423"/>
    <w:rsid w:val="00B153B7"/>
    <w:rsid w:val="00B1622B"/>
    <w:rsid w:val="00B20158"/>
    <w:rsid w:val="00B209F5"/>
    <w:rsid w:val="00B24B76"/>
    <w:rsid w:val="00B25F67"/>
    <w:rsid w:val="00B31CBD"/>
    <w:rsid w:val="00B37167"/>
    <w:rsid w:val="00B371D2"/>
    <w:rsid w:val="00B3724D"/>
    <w:rsid w:val="00B404B7"/>
    <w:rsid w:val="00B40610"/>
    <w:rsid w:val="00B4252A"/>
    <w:rsid w:val="00B42EB6"/>
    <w:rsid w:val="00B4391A"/>
    <w:rsid w:val="00B4705F"/>
    <w:rsid w:val="00B52568"/>
    <w:rsid w:val="00B528F8"/>
    <w:rsid w:val="00B530C2"/>
    <w:rsid w:val="00B55701"/>
    <w:rsid w:val="00B55F90"/>
    <w:rsid w:val="00B56245"/>
    <w:rsid w:val="00B56478"/>
    <w:rsid w:val="00B57A4E"/>
    <w:rsid w:val="00B70CE3"/>
    <w:rsid w:val="00B764B0"/>
    <w:rsid w:val="00B77499"/>
    <w:rsid w:val="00B77C15"/>
    <w:rsid w:val="00B813D3"/>
    <w:rsid w:val="00B85216"/>
    <w:rsid w:val="00B964BC"/>
    <w:rsid w:val="00BA29FB"/>
    <w:rsid w:val="00BA3BDD"/>
    <w:rsid w:val="00BA5892"/>
    <w:rsid w:val="00BB2FF1"/>
    <w:rsid w:val="00BB343E"/>
    <w:rsid w:val="00BB36AE"/>
    <w:rsid w:val="00BB4D20"/>
    <w:rsid w:val="00BB75E2"/>
    <w:rsid w:val="00BC0C23"/>
    <w:rsid w:val="00BC24F3"/>
    <w:rsid w:val="00BC26CD"/>
    <w:rsid w:val="00BC382F"/>
    <w:rsid w:val="00BC3A70"/>
    <w:rsid w:val="00BC4E60"/>
    <w:rsid w:val="00BC78DC"/>
    <w:rsid w:val="00BD0962"/>
    <w:rsid w:val="00BD0E9C"/>
    <w:rsid w:val="00BD12E0"/>
    <w:rsid w:val="00BD1E64"/>
    <w:rsid w:val="00BE220C"/>
    <w:rsid w:val="00BE69F6"/>
    <w:rsid w:val="00BF02F3"/>
    <w:rsid w:val="00BF0B8E"/>
    <w:rsid w:val="00BF110E"/>
    <w:rsid w:val="00BF1BB3"/>
    <w:rsid w:val="00BF36A2"/>
    <w:rsid w:val="00BF4274"/>
    <w:rsid w:val="00BF6CAA"/>
    <w:rsid w:val="00BF7542"/>
    <w:rsid w:val="00C00A16"/>
    <w:rsid w:val="00C02D16"/>
    <w:rsid w:val="00C0535A"/>
    <w:rsid w:val="00C0765A"/>
    <w:rsid w:val="00C1236B"/>
    <w:rsid w:val="00C141B4"/>
    <w:rsid w:val="00C15344"/>
    <w:rsid w:val="00C20D17"/>
    <w:rsid w:val="00C34D83"/>
    <w:rsid w:val="00C35A67"/>
    <w:rsid w:val="00C365C9"/>
    <w:rsid w:val="00C4141C"/>
    <w:rsid w:val="00C459C7"/>
    <w:rsid w:val="00C45C8C"/>
    <w:rsid w:val="00C469E6"/>
    <w:rsid w:val="00C46CAC"/>
    <w:rsid w:val="00C474C6"/>
    <w:rsid w:val="00C51623"/>
    <w:rsid w:val="00C522DF"/>
    <w:rsid w:val="00C52E61"/>
    <w:rsid w:val="00C53B22"/>
    <w:rsid w:val="00C557FB"/>
    <w:rsid w:val="00C56427"/>
    <w:rsid w:val="00C56FE9"/>
    <w:rsid w:val="00C57DDF"/>
    <w:rsid w:val="00C618D1"/>
    <w:rsid w:val="00C636AC"/>
    <w:rsid w:val="00C64E6F"/>
    <w:rsid w:val="00C65B07"/>
    <w:rsid w:val="00C71398"/>
    <w:rsid w:val="00C71723"/>
    <w:rsid w:val="00C71DB7"/>
    <w:rsid w:val="00C730E2"/>
    <w:rsid w:val="00C767CF"/>
    <w:rsid w:val="00C768B0"/>
    <w:rsid w:val="00C77A3C"/>
    <w:rsid w:val="00C80F68"/>
    <w:rsid w:val="00C834B5"/>
    <w:rsid w:val="00C84B2A"/>
    <w:rsid w:val="00C8582C"/>
    <w:rsid w:val="00C8693B"/>
    <w:rsid w:val="00C87433"/>
    <w:rsid w:val="00C903D8"/>
    <w:rsid w:val="00C91741"/>
    <w:rsid w:val="00C96BF0"/>
    <w:rsid w:val="00CA125B"/>
    <w:rsid w:val="00CA42C0"/>
    <w:rsid w:val="00CA693D"/>
    <w:rsid w:val="00CB0908"/>
    <w:rsid w:val="00CB1E49"/>
    <w:rsid w:val="00CB6215"/>
    <w:rsid w:val="00CC38B8"/>
    <w:rsid w:val="00CC4517"/>
    <w:rsid w:val="00CC64EA"/>
    <w:rsid w:val="00CD1214"/>
    <w:rsid w:val="00CD2EC8"/>
    <w:rsid w:val="00CD424B"/>
    <w:rsid w:val="00CD4F3D"/>
    <w:rsid w:val="00CE2133"/>
    <w:rsid w:val="00CE30F2"/>
    <w:rsid w:val="00CE3BEE"/>
    <w:rsid w:val="00CE4739"/>
    <w:rsid w:val="00CE6850"/>
    <w:rsid w:val="00CE71C7"/>
    <w:rsid w:val="00CE782B"/>
    <w:rsid w:val="00CF0252"/>
    <w:rsid w:val="00CF2760"/>
    <w:rsid w:val="00CF4F2A"/>
    <w:rsid w:val="00CF6F52"/>
    <w:rsid w:val="00D007CD"/>
    <w:rsid w:val="00D00B04"/>
    <w:rsid w:val="00D02EE9"/>
    <w:rsid w:val="00D03EC6"/>
    <w:rsid w:val="00D041CD"/>
    <w:rsid w:val="00D06D1D"/>
    <w:rsid w:val="00D076A0"/>
    <w:rsid w:val="00D11C4B"/>
    <w:rsid w:val="00D12197"/>
    <w:rsid w:val="00D1229A"/>
    <w:rsid w:val="00D12D37"/>
    <w:rsid w:val="00D13669"/>
    <w:rsid w:val="00D140A7"/>
    <w:rsid w:val="00D1654D"/>
    <w:rsid w:val="00D165DB"/>
    <w:rsid w:val="00D172A5"/>
    <w:rsid w:val="00D20CF6"/>
    <w:rsid w:val="00D21AA8"/>
    <w:rsid w:val="00D2326D"/>
    <w:rsid w:val="00D23A85"/>
    <w:rsid w:val="00D26922"/>
    <w:rsid w:val="00D30D55"/>
    <w:rsid w:val="00D3264B"/>
    <w:rsid w:val="00D32B50"/>
    <w:rsid w:val="00D34540"/>
    <w:rsid w:val="00D35307"/>
    <w:rsid w:val="00D36634"/>
    <w:rsid w:val="00D36B5A"/>
    <w:rsid w:val="00D40D5D"/>
    <w:rsid w:val="00D41B42"/>
    <w:rsid w:val="00D50B94"/>
    <w:rsid w:val="00D5704E"/>
    <w:rsid w:val="00D57842"/>
    <w:rsid w:val="00D57D53"/>
    <w:rsid w:val="00D61417"/>
    <w:rsid w:val="00D61FCE"/>
    <w:rsid w:val="00D62800"/>
    <w:rsid w:val="00D63071"/>
    <w:rsid w:val="00D667EA"/>
    <w:rsid w:val="00D67A72"/>
    <w:rsid w:val="00D67A89"/>
    <w:rsid w:val="00D73851"/>
    <w:rsid w:val="00D83287"/>
    <w:rsid w:val="00D850B1"/>
    <w:rsid w:val="00D85688"/>
    <w:rsid w:val="00D87376"/>
    <w:rsid w:val="00D87397"/>
    <w:rsid w:val="00D9001E"/>
    <w:rsid w:val="00D90878"/>
    <w:rsid w:val="00D90B56"/>
    <w:rsid w:val="00D915BC"/>
    <w:rsid w:val="00D95637"/>
    <w:rsid w:val="00DA05AF"/>
    <w:rsid w:val="00DA07CD"/>
    <w:rsid w:val="00DB0035"/>
    <w:rsid w:val="00DB02D6"/>
    <w:rsid w:val="00DB2F47"/>
    <w:rsid w:val="00DB37E3"/>
    <w:rsid w:val="00DB4053"/>
    <w:rsid w:val="00DB7C38"/>
    <w:rsid w:val="00DC2C12"/>
    <w:rsid w:val="00DC373F"/>
    <w:rsid w:val="00DC4513"/>
    <w:rsid w:val="00DC68E9"/>
    <w:rsid w:val="00DD2DA3"/>
    <w:rsid w:val="00DD3018"/>
    <w:rsid w:val="00DE2505"/>
    <w:rsid w:val="00DE4A89"/>
    <w:rsid w:val="00DE55C1"/>
    <w:rsid w:val="00DE7DC6"/>
    <w:rsid w:val="00DF071C"/>
    <w:rsid w:val="00DF1A7D"/>
    <w:rsid w:val="00DF4127"/>
    <w:rsid w:val="00DF4DED"/>
    <w:rsid w:val="00E00DFD"/>
    <w:rsid w:val="00E00E44"/>
    <w:rsid w:val="00E01BE2"/>
    <w:rsid w:val="00E02D7D"/>
    <w:rsid w:val="00E0469C"/>
    <w:rsid w:val="00E04B48"/>
    <w:rsid w:val="00E05F09"/>
    <w:rsid w:val="00E07E63"/>
    <w:rsid w:val="00E11BB8"/>
    <w:rsid w:val="00E1321B"/>
    <w:rsid w:val="00E154F8"/>
    <w:rsid w:val="00E17AC4"/>
    <w:rsid w:val="00E20D0C"/>
    <w:rsid w:val="00E21FC6"/>
    <w:rsid w:val="00E233D7"/>
    <w:rsid w:val="00E244C1"/>
    <w:rsid w:val="00E26E75"/>
    <w:rsid w:val="00E270AA"/>
    <w:rsid w:val="00E30B16"/>
    <w:rsid w:val="00E332A5"/>
    <w:rsid w:val="00E40C7A"/>
    <w:rsid w:val="00E4163C"/>
    <w:rsid w:val="00E41AFD"/>
    <w:rsid w:val="00E45DC2"/>
    <w:rsid w:val="00E51D12"/>
    <w:rsid w:val="00E5272F"/>
    <w:rsid w:val="00E5324A"/>
    <w:rsid w:val="00E53376"/>
    <w:rsid w:val="00E55109"/>
    <w:rsid w:val="00E61ECF"/>
    <w:rsid w:val="00E6465A"/>
    <w:rsid w:val="00E65497"/>
    <w:rsid w:val="00E66E6A"/>
    <w:rsid w:val="00E729EA"/>
    <w:rsid w:val="00E772BA"/>
    <w:rsid w:val="00E836C2"/>
    <w:rsid w:val="00E848F3"/>
    <w:rsid w:val="00E851E5"/>
    <w:rsid w:val="00E86B5D"/>
    <w:rsid w:val="00E87F45"/>
    <w:rsid w:val="00E908EF"/>
    <w:rsid w:val="00E90B7F"/>
    <w:rsid w:val="00E93918"/>
    <w:rsid w:val="00E96CFA"/>
    <w:rsid w:val="00EA19B2"/>
    <w:rsid w:val="00EA6117"/>
    <w:rsid w:val="00EA6595"/>
    <w:rsid w:val="00EA7ACA"/>
    <w:rsid w:val="00EB31E5"/>
    <w:rsid w:val="00EC030B"/>
    <w:rsid w:val="00EC0505"/>
    <w:rsid w:val="00EC0F3B"/>
    <w:rsid w:val="00EC2E38"/>
    <w:rsid w:val="00EC2E58"/>
    <w:rsid w:val="00EC5BCD"/>
    <w:rsid w:val="00ED2B43"/>
    <w:rsid w:val="00ED6A09"/>
    <w:rsid w:val="00EE11DA"/>
    <w:rsid w:val="00EF0E7B"/>
    <w:rsid w:val="00EF2B6A"/>
    <w:rsid w:val="00EF4C34"/>
    <w:rsid w:val="00EF5936"/>
    <w:rsid w:val="00F0378E"/>
    <w:rsid w:val="00F04A86"/>
    <w:rsid w:val="00F10FBA"/>
    <w:rsid w:val="00F12185"/>
    <w:rsid w:val="00F15043"/>
    <w:rsid w:val="00F160B2"/>
    <w:rsid w:val="00F1657C"/>
    <w:rsid w:val="00F20564"/>
    <w:rsid w:val="00F22B5F"/>
    <w:rsid w:val="00F2752B"/>
    <w:rsid w:val="00F2761D"/>
    <w:rsid w:val="00F336EE"/>
    <w:rsid w:val="00F359AF"/>
    <w:rsid w:val="00F37418"/>
    <w:rsid w:val="00F40F6A"/>
    <w:rsid w:val="00F418AF"/>
    <w:rsid w:val="00F444F2"/>
    <w:rsid w:val="00F45086"/>
    <w:rsid w:val="00F5203A"/>
    <w:rsid w:val="00F52A6A"/>
    <w:rsid w:val="00F54045"/>
    <w:rsid w:val="00F54125"/>
    <w:rsid w:val="00F546BF"/>
    <w:rsid w:val="00F56465"/>
    <w:rsid w:val="00F63DD4"/>
    <w:rsid w:val="00F66FB8"/>
    <w:rsid w:val="00F70B23"/>
    <w:rsid w:val="00F729B7"/>
    <w:rsid w:val="00F74A76"/>
    <w:rsid w:val="00F75F38"/>
    <w:rsid w:val="00F80C6E"/>
    <w:rsid w:val="00F8183A"/>
    <w:rsid w:val="00F81CC6"/>
    <w:rsid w:val="00F8493E"/>
    <w:rsid w:val="00F8503F"/>
    <w:rsid w:val="00F915F6"/>
    <w:rsid w:val="00F9229D"/>
    <w:rsid w:val="00F943A5"/>
    <w:rsid w:val="00F95F4E"/>
    <w:rsid w:val="00F97A7A"/>
    <w:rsid w:val="00FB067C"/>
    <w:rsid w:val="00FB0EE3"/>
    <w:rsid w:val="00FB18A5"/>
    <w:rsid w:val="00FC0446"/>
    <w:rsid w:val="00FC09F2"/>
    <w:rsid w:val="00FC121C"/>
    <w:rsid w:val="00FC14FC"/>
    <w:rsid w:val="00FC21C8"/>
    <w:rsid w:val="00FC5A50"/>
    <w:rsid w:val="00FD234D"/>
    <w:rsid w:val="00FD3A15"/>
    <w:rsid w:val="00FD5A48"/>
    <w:rsid w:val="00FE1FDC"/>
    <w:rsid w:val="00FE2C12"/>
    <w:rsid w:val="00FE34AF"/>
    <w:rsid w:val="00FE3665"/>
    <w:rsid w:val="00FE49D0"/>
    <w:rsid w:val="00FE4C6F"/>
    <w:rsid w:val="00FF4353"/>
    <w:rsid w:val="084109DA"/>
    <w:rsid w:val="0DD3A5BD"/>
    <w:rsid w:val="0E252279"/>
    <w:rsid w:val="0F324D49"/>
    <w:rsid w:val="0FCF5A9E"/>
    <w:rsid w:val="156A5F69"/>
    <w:rsid w:val="16FD8287"/>
    <w:rsid w:val="17966920"/>
    <w:rsid w:val="17EEC44A"/>
    <w:rsid w:val="17FED9B2"/>
    <w:rsid w:val="19825767"/>
    <w:rsid w:val="1B8D419F"/>
    <w:rsid w:val="1BBFB8D4"/>
    <w:rsid w:val="1BF4C897"/>
    <w:rsid w:val="1CE373F9"/>
    <w:rsid w:val="1D382602"/>
    <w:rsid w:val="1DDD6D46"/>
    <w:rsid w:val="21D03A6A"/>
    <w:rsid w:val="2A4E6BE6"/>
    <w:rsid w:val="2D5CE659"/>
    <w:rsid w:val="2E815A90"/>
    <w:rsid w:val="2FAE76E1"/>
    <w:rsid w:val="2FFDC063"/>
    <w:rsid w:val="30291FF9"/>
    <w:rsid w:val="326A7AEB"/>
    <w:rsid w:val="32AF2183"/>
    <w:rsid w:val="356C35A2"/>
    <w:rsid w:val="35BD76DA"/>
    <w:rsid w:val="367F1AD2"/>
    <w:rsid w:val="36A64ABF"/>
    <w:rsid w:val="37EF12ED"/>
    <w:rsid w:val="37EFA77C"/>
    <w:rsid w:val="37F6DE85"/>
    <w:rsid w:val="38190834"/>
    <w:rsid w:val="3B6E0906"/>
    <w:rsid w:val="3B9BD9B0"/>
    <w:rsid w:val="3BFBDE01"/>
    <w:rsid w:val="3CF7CA21"/>
    <w:rsid w:val="3EBBB3C3"/>
    <w:rsid w:val="3EE71A50"/>
    <w:rsid w:val="3EFDDE82"/>
    <w:rsid w:val="3FCEDCA1"/>
    <w:rsid w:val="3FF73365"/>
    <w:rsid w:val="42D78AFD"/>
    <w:rsid w:val="457D50A9"/>
    <w:rsid w:val="48747898"/>
    <w:rsid w:val="4BFB2362"/>
    <w:rsid w:val="4DBCFD12"/>
    <w:rsid w:val="4F372739"/>
    <w:rsid w:val="506B6D67"/>
    <w:rsid w:val="52D94EFB"/>
    <w:rsid w:val="53066F6B"/>
    <w:rsid w:val="57271A76"/>
    <w:rsid w:val="57BB48F6"/>
    <w:rsid w:val="57DF7117"/>
    <w:rsid w:val="598B67EC"/>
    <w:rsid w:val="59DB7BE7"/>
    <w:rsid w:val="5AFE4B06"/>
    <w:rsid w:val="5B455836"/>
    <w:rsid w:val="5BDDE335"/>
    <w:rsid w:val="5BED00AA"/>
    <w:rsid w:val="5C1923C1"/>
    <w:rsid w:val="5C1BAE2A"/>
    <w:rsid w:val="5DB7FC46"/>
    <w:rsid w:val="5EF9ADF1"/>
    <w:rsid w:val="5EFFC932"/>
    <w:rsid w:val="5F6F7FD3"/>
    <w:rsid w:val="5F7B9961"/>
    <w:rsid w:val="5FC7B1C6"/>
    <w:rsid w:val="61E71D47"/>
    <w:rsid w:val="676EAB62"/>
    <w:rsid w:val="689E7C32"/>
    <w:rsid w:val="68A668C1"/>
    <w:rsid w:val="6BDE46B2"/>
    <w:rsid w:val="6BFFFC2C"/>
    <w:rsid w:val="6D7B1BBD"/>
    <w:rsid w:val="6E2109F3"/>
    <w:rsid w:val="6FFC1C65"/>
    <w:rsid w:val="70ED2282"/>
    <w:rsid w:val="73BA0AB6"/>
    <w:rsid w:val="73CE0BDD"/>
    <w:rsid w:val="73FF9408"/>
    <w:rsid w:val="745555FB"/>
    <w:rsid w:val="762FA7FB"/>
    <w:rsid w:val="76ED78F7"/>
    <w:rsid w:val="77A77719"/>
    <w:rsid w:val="77DF5F78"/>
    <w:rsid w:val="77EF807F"/>
    <w:rsid w:val="797D2C6E"/>
    <w:rsid w:val="79BE71B0"/>
    <w:rsid w:val="7AA7D658"/>
    <w:rsid w:val="7B6F2AC0"/>
    <w:rsid w:val="7BCBF745"/>
    <w:rsid w:val="7BD4CC7B"/>
    <w:rsid w:val="7BDEEBE4"/>
    <w:rsid w:val="7BF6DDBA"/>
    <w:rsid w:val="7BFD4141"/>
    <w:rsid w:val="7BFFB09A"/>
    <w:rsid w:val="7CAF8D81"/>
    <w:rsid w:val="7CFAC514"/>
    <w:rsid w:val="7D3A358E"/>
    <w:rsid w:val="7D5B558E"/>
    <w:rsid w:val="7DAF4FFD"/>
    <w:rsid w:val="7DBF7271"/>
    <w:rsid w:val="7DFD4681"/>
    <w:rsid w:val="7E7F2EBE"/>
    <w:rsid w:val="7E7F8A7B"/>
    <w:rsid w:val="7F7F6C3E"/>
    <w:rsid w:val="7FF4DFB4"/>
    <w:rsid w:val="7FFA58F9"/>
    <w:rsid w:val="7FFCAA6D"/>
    <w:rsid w:val="7FFD0A00"/>
    <w:rsid w:val="7FFE12FF"/>
    <w:rsid w:val="7FFFA897"/>
    <w:rsid w:val="8CF7ECFA"/>
    <w:rsid w:val="9BDF16F1"/>
    <w:rsid w:val="9BEB0EE8"/>
    <w:rsid w:val="9F7F8CE7"/>
    <w:rsid w:val="9FBF1D2C"/>
    <w:rsid w:val="A4FBA865"/>
    <w:rsid w:val="A7FFE0D2"/>
    <w:rsid w:val="AEDD7DFC"/>
    <w:rsid w:val="AF78034D"/>
    <w:rsid w:val="AFFD9AE5"/>
    <w:rsid w:val="B1CFF2F3"/>
    <w:rsid w:val="B4FF5495"/>
    <w:rsid w:val="B775AB05"/>
    <w:rsid w:val="B7CF29FF"/>
    <w:rsid w:val="BB763432"/>
    <w:rsid w:val="BB95FD93"/>
    <w:rsid w:val="BBDE6FFF"/>
    <w:rsid w:val="BDCB4CB5"/>
    <w:rsid w:val="BDEFAA4E"/>
    <w:rsid w:val="BF4438A3"/>
    <w:rsid w:val="BF5FEF2D"/>
    <w:rsid w:val="BF7B0702"/>
    <w:rsid w:val="BF7B8408"/>
    <w:rsid w:val="BFE08B84"/>
    <w:rsid w:val="BFE2B565"/>
    <w:rsid w:val="BFF70A3B"/>
    <w:rsid w:val="BFFF7066"/>
    <w:rsid w:val="C9F96B21"/>
    <w:rsid w:val="CBE79D29"/>
    <w:rsid w:val="CCEF86A1"/>
    <w:rsid w:val="CEFF4DD2"/>
    <w:rsid w:val="CFA70A57"/>
    <w:rsid w:val="CFDF6CA9"/>
    <w:rsid w:val="CFFE6055"/>
    <w:rsid w:val="D7D9B65D"/>
    <w:rsid w:val="D7EF0E84"/>
    <w:rsid w:val="DD7FEF6D"/>
    <w:rsid w:val="DDFD0769"/>
    <w:rsid w:val="DEFC4E2F"/>
    <w:rsid w:val="DF2CB2F2"/>
    <w:rsid w:val="DF2EE7D9"/>
    <w:rsid w:val="DF4CCCDA"/>
    <w:rsid w:val="DFBADF99"/>
    <w:rsid w:val="DFBFA73F"/>
    <w:rsid w:val="DFEF44D7"/>
    <w:rsid w:val="DFFF5AC4"/>
    <w:rsid w:val="E3D6E25D"/>
    <w:rsid w:val="E765F84B"/>
    <w:rsid w:val="E7F3B1CF"/>
    <w:rsid w:val="E7FF4763"/>
    <w:rsid w:val="EB63D0D1"/>
    <w:rsid w:val="EBBF9045"/>
    <w:rsid w:val="EDFB85C7"/>
    <w:rsid w:val="EDFCE70B"/>
    <w:rsid w:val="EDFE3330"/>
    <w:rsid w:val="EE6E985A"/>
    <w:rsid w:val="EFA7EDD0"/>
    <w:rsid w:val="EFD13340"/>
    <w:rsid w:val="F1AD1FF4"/>
    <w:rsid w:val="F2A1FF42"/>
    <w:rsid w:val="F4F3B4FC"/>
    <w:rsid w:val="F51FDAB1"/>
    <w:rsid w:val="F579E127"/>
    <w:rsid w:val="F5DEB710"/>
    <w:rsid w:val="F5EF9ABB"/>
    <w:rsid w:val="F65D4851"/>
    <w:rsid w:val="F6B995AF"/>
    <w:rsid w:val="F77FA4A6"/>
    <w:rsid w:val="F7B9B2A1"/>
    <w:rsid w:val="F7E79819"/>
    <w:rsid w:val="FA67FDC1"/>
    <w:rsid w:val="FB39BCB1"/>
    <w:rsid w:val="FB7FC453"/>
    <w:rsid w:val="FB8AFB81"/>
    <w:rsid w:val="FBE3C987"/>
    <w:rsid w:val="FBF7F807"/>
    <w:rsid w:val="FC597D31"/>
    <w:rsid w:val="FDBE273F"/>
    <w:rsid w:val="FDBE7846"/>
    <w:rsid w:val="FDC72C11"/>
    <w:rsid w:val="FDD653C2"/>
    <w:rsid w:val="FDEB6282"/>
    <w:rsid w:val="FDEE1CBB"/>
    <w:rsid w:val="FDFB2EEA"/>
    <w:rsid w:val="FE34D5F9"/>
    <w:rsid w:val="FED7F33D"/>
    <w:rsid w:val="FEEBCA10"/>
    <w:rsid w:val="FF91E7AE"/>
    <w:rsid w:val="FF9B3971"/>
    <w:rsid w:val="FF9F5EB9"/>
    <w:rsid w:val="FFB54359"/>
    <w:rsid w:val="FFFF494B"/>
    <w:rsid w:val="FFFF9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qFormat="1" w:unhideWhenUsed="0" w:uiPriority="0" w:semiHidden="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1"/>
    <w:qFormat/>
    <w:uiPriority w:val="0"/>
    <w:pPr>
      <w:keepNext/>
      <w:keepLines/>
      <w:spacing w:before="260" w:after="260" w:line="416" w:lineRule="auto"/>
      <w:outlineLvl w:val="1"/>
    </w:pPr>
    <w:rPr>
      <w:rFonts w:ascii="等线 Light" w:hAnsi="等线 Light" w:eastAsia="等线 Light"/>
      <w:b/>
      <w:bCs/>
      <w:sz w:val="32"/>
      <w:szCs w:val="32"/>
    </w:rPr>
  </w:style>
  <w:style w:type="paragraph" w:styleId="4">
    <w:name w:val="heading 3"/>
    <w:basedOn w:val="1"/>
    <w:next w:val="1"/>
    <w:link w:val="22"/>
    <w:qFormat/>
    <w:uiPriority w:val="0"/>
    <w:pPr>
      <w:widowControl/>
      <w:spacing w:before="100" w:beforeAutospacing="1" w:after="100" w:afterAutospacing="1"/>
      <w:jc w:val="left"/>
      <w:outlineLvl w:val="2"/>
    </w:pPr>
    <w:rPr>
      <w:rFonts w:ascii="宋体" w:hAnsi="宋体" w:cs="宋体"/>
      <w:b/>
      <w:bCs/>
      <w:kern w:val="0"/>
      <w:sz w:val="27"/>
      <w:szCs w:val="27"/>
    </w:rPr>
  </w:style>
  <w:style w:type="paragraph" w:styleId="5">
    <w:name w:val="heading 4"/>
    <w:basedOn w:val="1"/>
    <w:next w:val="1"/>
    <w:link w:val="77"/>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6"/>
    <w:basedOn w:val="1"/>
    <w:next w:val="1"/>
    <w:qFormat/>
    <w:uiPriority w:val="0"/>
    <w:pPr>
      <w:keepNext/>
      <w:keepLines/>
      <w:numPr>
        <w:ilvl w:val="0"/>
        <w:numId w:val="1"/>
      </w:numPr>
      <w:tabs>
        <w:tab w:val="clear" w:pos="900"/>
      </w:tabs>
      <w:spacing w:before="240" w:after="64" w:line="320" w:lineRule="auto"/>
      <w:ind w:left="0" w:firstLine="0"/>
      <w:outlineLvl w:val="5"/>
    </w:pPr>
    <w:rPr>
      <w:rFonts w:ascii="Arial" w:hAnsi="Arial" w:eastAsia="黑体"/>
      <w:b/>
      <w:bCs/>
      <w:sz w:val="24"/>
    </w:rPr>
  </w:style>
  <w:style w:type="character" w:default="1" w:styleId="17">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7">
    <w:name w:val="Date"/>
    <w:basedOn w:val="1"/>
    <w:next w:val="1"/>
    <w:qFormat/>
    <w:uiPriority w:val="0"/>
    <w:pPr>
      <w:ind w:left="100" w:leftChars="2500"/>
    </w:pPr>
  </w:style>
  <w:style w:type="paragraph" w:styleId="8">
    <w:name w:val="Balloon Text"/>
    <w:basedOn w:val="1"/>
    <w:link w:val="23"/>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0"/>
    <w:pPr>
      <w:tabs>
        <w:tab w:val="right" w:leader="dot" w:pos="9241"/>
      </w:tabs>
      <w:spacing w:beforeLines="25" w:afterLines="25"/>
      <w:jc w:val="left"/>
    </w:pPr>
    <w:rPr>
      <w:rFonts w:ascii="宋体"/>
      <w:szCs w:val="21"/>
    </w:rPr>
  </w:style>
  <w:style w:type="paragraph" w:styleId="1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table" w:styleId="14">
    <w:name w:val="Table Grid"/>
    <w:basedOn w:val="13"/>
    <w:qFormat/>
    <w:uiPriority w:val="0"/>
    <w:pPr>
      <w:numPr>
        <w:numId w:val="2"/>
      </w:numPr>
      <w:ind w:left="0" w:firstLine="0"/>
    </w:pPr>
    <w:rPr>
      <w:rFonts w:ascii="宋体"/>
      <w:sz w:val="1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5">
    <w:name w:val="Table Theme"/>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6">
    <w:name w:val="Table Elegant"/>
    <w:basedOn w:val="13"/>
    <w:qFormat/>
    <w:uiPriority w:val="0"/>
    <w:pPr>
      <w:widowControl w:val="0"/>
      <w:jc w:val="both"/>
    </w:pPr>
    <w:tblPr>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18">
    <w:name w:val="page number"/>
    <w:qFormat/>
    <w:uiPriority w:val="0"/>
    <w:rPr>
      <w:rFonts w:ascii="Times New Roman" w:hAnsi="Times New Roman" w:eastAsia="宋体" w:cs="Times New Roman"/>
    </w:rPr>
  </w:style>
  <w:style w:type="character" w:styleId="19">
    <w:name w:val="Hyperlink"/>
    <w:qFormat/>
    <w:uiPriority w:val="0"/>
    <w:rPr>
      <w:rFonts w:ascii="Times New Roman" w:hAnsi="Times New Roman" w:eastAsia="宋体" w:cs="Times New Roman"/>
      <w:color w:val="0000FF"/>
      <w:spacing w:val="0"/>
      <w:w w:val="100"/>
      <w:szCs w:val="21"/>
      <w:u w:val="single"/>
    </w:rPr>
  </w:style>
  <w:style w:type="character" w:styleId="20">
    <w:name w:val="HTML Code"/>
    <w:qFormat/>
    <w:uiPriority w:val="0"/>
    <w:rPr>
      <w:rFonts w:ascii="Courier New" w:hAnsi="Courier New" w:eastAsia="宋体" w:cs="Times New Roman"/>
      <w:sz w:val="20"/>
      <w:szCs w:val="20"/>
    </w:rPr>
  </w:style>
  <w:style w:type="character" w:customStyle="1" w:styleId="21">
    <w:name w:val="标题 2 字符"/>
    <w:link w:val="3"/>
    <w:qFormat/>
    <w:uiPriority w:val="0"/>
    <w:rPr>
      <w:rFonts w:ascii="等线 Light" w:hAnsi="等线 Light" w:eastAsia="等线 Light" w:cs="Times New Roman"/>
      <w:b/>
      <w:bCs/>
      <w:kern w:val="2"/>
      <w:sz w:val="32"/>
      <w:szCs w:val="32"/>
    </w:rPr>
  </w:style>
  <w:style w:type="character" w:customStyle="1" w:styleId="22">
    <w:name w:val="标题 3 字符"/>
    <w:link w:val="4"/>
    <w:qFormat/>
    <w:uiPriority w:val="0"/>
    <w:rPr>
      <w:rFonts w:ascii="宋体" w:hAnsi="宋体" w:eastAsia="宋体" w:cs="宋体"/>
      <w:b/>
      <w:bCs/>
      <w:sz w:val="27"/>
      <w:szCs w:val="27"/>
    </w:rPr>
  </w:style>
  <w:style w:type="character" w:customStyle="1" w:styleId="23">
    <w:name w:val="批注框文本 字符"/>
    <w:link w:val="8"/>
    <w:qFormat/>
    <w:uiPriority w:val="0"/>
    <w:rPr>
      <w:rFonts w:ascii="Times New Roman" w:hAnsi="Times New Roman" w:eastAsia="宋体" w:cs="Times New Roman"/>
      <w:kern w:val="2"/>
      <w:sz w:val="18"/>
      <w:szCs w:val="18"/>
    </w:rPr>
  </w:style>
  <w:style w:type="paragraph" w:styleId="24">
    <w:name w:val="List Paragraph"/>
    <w:basedOn w:val="1"/>
    <w:qFormat/>
    <w:uiPriority w:val="0"/>
    <w:pPr>
      <w:ind w:firstLine="420" w:firstLineChars="200"/>
    </w:pPr>
  </w:style>
  <w:style w:type="character" w:customStyle="1" w:styleId="25">
    <w:name w:val="段 Char"/>
    <w:link w:val="26"/>
    <w:qFormat/>
    <w:uiPriority w:val="0"/>
    <w:rPr>
      <w:rFonts w:ascii="宋体" w:hAnsi="Times New Roman" w:eastAsia="宋体" w:cs="Times New Roman"/>
      <w:sz w:val="21"/>
      <w:lang w:val="en-US" w:eastAsia="zh-CN" w:bidi="ar-SA"/>
    </w:rPr>
  </w:style>
  <w:style w:type="paragraph" w:customStyle="1" w:styleId="26">
    <w:name w:val="段"/>
    <w:link w:val="25"/>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27">
    <w:name w:val="标准文件_段"/>
    <w:link w:val="78"/>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28">
    <w:name w:val="标准文件_章标题"/>
    <w:next w:val="27"/>
    <w:qFormat/>
    <w:uiPriority w:val="0"/>
    <w:pPr>
      <w:numPr>
        <w:ilvl w:val="1"/>
        <w:numId w:val="3"/>
      </w:numPr>
      <w:spacing w:before="100" w:beforeLines="100" w:after="100" w:afterLines="100" w:line="278" w:lineRule="auto"/>
      <w:jc w:val="both"/>
      <w:outlineLvl w:val="0"/>
    </w:pPr>
    <w:rPr>
      <w:rFonts w:ascii="黑体" w:hAnsi="Times New Roman" w:eastAsia="黑体" w:cs="Times New Roman"/>
      <w:sz w:val="21"/>
      <w:lang w:val="en-US" w:eastAsia="zh-CN" w:bidi="ar-SA"/>
    </w:rPr>
  </w:style>
  <w:style w:type="paragraph" w:customStyle="1" w:styleId="29">
    <w:name w:val="标准文件_一级条标题"/>
    <w:basedOn w:val="28"/>
    <w:next w:val="27"/>
    <w:qFormat/>
    <w:uiPriority w:val="0"/>
    <w:pPr>
      <w:numPr>
        <w:ilvl w:val="2"/>
      </w:numPr>
      <w:spacing w:before="50" w:beforeLines="50" w:after="50" w:afterLines="50"/>
      <w:outlineLvl w:val="1"/>
    </w:pPr>
    <w:rPr>
      <w:rFonts w:ascii="Times New Roman" w:eastAsia="宋体"/>
    </w:rPr>
  </w:style>
  <w:style w:type="paragraph" w:customStyle="1" w:styleId="30">
    <w:name w:val="标准文件_二级条标题"/>
    <w:next w:val="27"/>
    <w:qFormat/>
    <w:uiPriority w:val="0"/>
    <w:pPr>
      <w:widowControl w:val="0"/>
      <w:numPr>
        <w:ilvl w:val="3"/>
        <w:numId w:val="3"/>
      </w:numPr>
      <w:spacing w:before="50" w:beforeLines="50" w:after="50" w:afterLines="50" w:line="278" w:lineRule="auto"/>
      <w:jc w:val="both"/>
      <w:outlineLvl w:val="2"/>
    </w:pPr>
    <w:rPr>
      <w:rFonts w:ascii="黑体" w:hAnsi="Times New Roman" w:eastAsia="黑体" w:cs="Times New Roman"/>
      <w:sz w:val="21"/>
      <w:lang w:val="en-US" w:eastAsia="zh-CN" w:bidi="ar-SA"/>
    </w:rPr>
  </w:style>
  <w:style w:type="paragraph" w:customStyle="1" w:styleId="31">
    <w:name w:val="标准文件_三级条标题"/>
    <w:basedOn w:val="30"/>
    <w:next w:val="27"/>
    <w:qFormat/>
    <w:uiPriority w:val="0"/>
    <w:pPr>
      <w:widowControl/>
      <w:numPr>
        <w:ilvl w:val="4"/>
      </w:numPr>
      <w:outlineLvl w:val="3"/>
    </w:pPr>
    <w:rPr>
      <w:rFonts w:ascii="Times New Roman" w:eastAsia="宋体"/>
    </w:rPr>
  </w:style>
  <w:style w:type="paragraph" w:customStyle="1" w:styleId="32">
    <w:name w:val="标准文件_三级无标题"/>
    <w:basedOn w:val="31"/>
    <w:qFormat/>
    <w:uiPriority w:val="0"/>
    <w:pPr>
      <w:spacing w:before="0" w:beforeLines="0" w:after="0" w:afterLines="0"/>
      <w:outlineLvl w:val="9"/>
    </w:pPr>
    <w:rPr>
      <w:rFonts w:ascii="宋体"/>
    </w:rPr>
  </w:style>
  <w:style w:type="paragraph" w:customStyle="1" w:styleId="33">
    <w:name w:val="标准文件_二级无标题"/>
    <w:basedOn w:val="30"/>
    <w:qFormat/>
    <w:uiPriority w:val="0"/>
    <w:pPr>
      <w:spacing w:before="0" w:beforeLines="0" w:after="0" w:afterLines="0"/>
      <w:outlineLvl w:val="9"/>
    </w:pPr>
    <w:rPr>
      <w:rFonts w:ascii="宋体" w:eastAsia="宋体"/>
    </w:rPr>
  </w:style>
  <w:style w:type="character" w:customStyle="1" w:styleId="34">
    <w:name w:val="页眉 Char"/>
    <w:qFormat/>
    <w:uiPriority w:val="0"/>
    <w:rPr>
      <w:rFonts w:ascii="Times New Roman" w:hAnsi="Times New Roman" w:eastAsia="宋体" w:cs="Times New Roman"/>
      <w:kern w:val="2"/>
      <w:sz w:val="18"/>
      <w:szCs w:val="18"/>
    </w:rPr>
  </w:style>
  <w:style w:type="character" w:customStyle="1" w:styleId="35">
    <w:name w:val="页脚 Char"/>
    <w:qFormat/>
    <w:uiPriority w:val="0"/>
    <w:rPr>
      <w:rFonts w:ascii="Times New Roman" w:hAnsi="Times New Roman" w:eastAsia="宋体" w:cs="Times New Roman"/>
      <w:kern w:val="2"/>
      <w:sz w:val="18"/>
      <w:szCs w:val="18"/>
    </w:rPr>
  </w:style>
  <w:style w:type="paragraph" w:customStyle="1" w:styleId="36">
    <w:name w:val="Char Char Char Char Char Char Char Char Char Char Char Char Char Char Char Char Char Char Char Char Char Char"/>
    <w:basedOn w:val="1"/>
    <w:qFormat/>
    <w:uiPriority w:val="0"/>
    <w:pPr>
      <w:widowControl/>
      <w:spacing w:line="240" w:lineRule="exact"/>
      <w:jc w:val="left"/>
    </w:pPr>
    <w:rPr>
      <w:rFonts w:ascii="Arial" w:hAnsi="Arial" w:eastAsia="Times New Roman" w:cs="Verdana"/>
      <w:b/>
      <w:kern w:val="0"/>
      <w:sz w:val="24"/>
      <w:lang w:eastAsia="en-US"/>
    </w:rPr>
  </w:style>
  <w:style w:type="paragraph" w:customStyle="1" w:styleId="37">
    <w:name w:val="前言、引言标题"/>
    <w:next w:val="1"/>
    <w:qFormat/>
    <w:uiPriority w:val="0"/>
    <w:pPr>
      <w:shd w:val="clear" w:color="FFFFFF" w:fill="FFFFFF"/>
      <w:tabs>
        <w:tab w:val="left" w:pos="360"/>
      </w:tabs>
      <w:spacing w:before="640" w:after="560" w:line="278" w:lineRule="auto"/>
      <w:ind w:left="360" w:hanging="360"/>
      <w:jc w:val="center"/>
      <w:outlineLvl w:val="0"/>
    </w:pPr>
    <w:rPr>
      <w:rFonts w:ascii="黑体" w:hAnsi="Times New Roman" w:eastAsia="黑体" w:cs="Times New Roman"/>
      <w:sz w:val="32"/>
      <w:lang w:val="en-US" w:eastAsia="zh-CN" w:bidi="ar-SA"/>
    </w:rPr>
  </w:style>
  <w:style w:type="paragraph" w:customStyle="1" w:styleId="38">
    <w:name w:val="章标题"/>
    <w:next w:val="26"/>
    <w:qFormat/>
    <w:uiPriority w:val="0"/>
    <w:pPr>
      <w:tabs>
        <w:tab w:val="left" w:pos="840"/>
      </w:tabs>
      <w:spacing w:beforeLines="50" w:after="160" w:afterLines="50" w:line="278" w:lineRule="auto"/>
      <w:ind w:left="840" w:hanging="420"/>
      <w:jc w:val="both"/>
      <w:outlineLvl w:val="1"/>
    </w:pPr>
    <w:rPr>
      <w:rFonts w:ascii="黑体" w:hAnsi="Times New Roman" w:eastAsia="黑体" w:cs="Times New Roman"/>
      <w:sz w:val="21"/>
      <w:lang w:val="en-US" w:eastAsia="zh-CN" w:bidi="ar-SA"/>
    </w:rPr>
  </w:style>
  <w:style w:type="paragraph" w:customStyle="1" w:styleId="39">
    <w:name w:val="一级条标题"/>
    <w:next w:val="26"/>
    <w:qFormat/>
    <w:uiPriority w:val="0"/>
    <w:pPr>
      <w:tabs>
        <w:tab w:val="left" w:pos="1400"/>
      </w:tabs>
      <w:spacing w:after="160" w:line="278" w:lineRule="auto"/>
      <w:ind w:left="1400" w:hanging="420"/>
      <w:outlineLvl w:val="2"/>
    </w:pPr>
    <w:rPr>
      <w:rFonts w:ascii="Times New Roman" w:hAnsi="Times New Roman" w:eastAsia="黑体" w:cs="Times New Roman"/>
      <w:sz w:val="21"/>
      <w:lang w:val="en-US" w:eastAsia="zh-CN" w:bidi="ar-SA"/>
    </w:rPr>
  </w:style>
  <w:style w:type="paragraph" w:customStyle="1" w:styleId="40">
    <w:name w:val="二级条标题"/>
    <w:basedOn w:val="39"/>
    <w:next w:val="26"/>
    <w:qFormat/>
    <w:uiPriority w:val="0"/>
    <w:pPr>
      <w:tabs>
        <w:tab w:val="clear" w:pos="1400"/>
      </w:tabs>
      <w:ind w:left="0" w:firstLine="0"/>
      <w:outlineLvl w:val="3"/>
    </w:pPr>
    <w:rPr>
      <w:rFonts w:eastAsia="宋体"/>
    </w:rPr>
  </w:style>
  <w:style w:type="paragraph" w:customStyle="1" w:styleId="41">
    <w:name w:val="三级条标题"/>
    <w:basedOn w:val="40"/>
    <w:next w:val="26"/>
    <w:qFormat/>
    <w:uiPriority w:val="0"/>
    <w:pPr>
      <w:outlineLvl w:val="4"/>
    </w:pPr>
  </w:style>
  <w:style w:type="paragraph" w:customStyle="1" w:styleId="42">
    <w:name w:val="四级条标题"/>
    <w:basedOn w:val="41"/>
    <w:next w:val="26"/>
    <w:qFormat/>
    <w:uiPriority w:val="0"/>
    <w:pPr>
      <w:tabs>
        <w:tab w:val="left" w:pos="2940"/>
      </w:tabs>
      <w:ind w:left="2940" w:hanging="420"/>
      <w:outlineLvl w:val="5"/>
    </w:pPr>
  </w:style>
  <w:style w:type="paragraph" w:customStyle="1" w:styleId="43">
    <w:name w:val="五级条标题"/>
    <w:basedOn w:val="42"/>
    <w:next w:val="26"/>
    <w:qFormat/>
    <w:uiPriority w:val="0"/>
    <w:pPr>
      <w:tabs>
        <w:tab w:val="left" w:pos="3360"/>
        <w:tab w:val="clear" w:pos="2940"/>
      </w:tabs>
      <w:ind w:left="3360"/>
      <w:outlineLvl w:val="6"/>
    </w:pPr>
  </w:style>
  <w:style w:type="paragraph" w:customStyle="1" w:styleId="44">
    <w:name w:val="注×："/>
    <w:qFormat/>
    <w:uiPriority w:val="0"/>
    <w:pPr>
      <w:widowControl w:val="0"/>
      <w:tabs>
        <w:tab w:val="left" w:pos="630"/>
        <w:tab w:val="left" w:pos="720"/>
      </w:tabs>
      <w:autoSpaceDE w:val="0"/>
      <w:autoSpaceDN w:val="0"/>
      <w:spacing w:after="160" w:line="278" w:lineRule="auto"/>
      <w:ind w:left="720" w:hanging="720"/>
      <w:jc w:val="both"/>
    </w:pPr>
    <w:rPr>
      <w:rFonts w:ascii="宋体" w:hAnsi="Times New Roman" w:eastAsia="宋体" w:cs="Times New Roman"/>
      <w:sz w:val="18"/>
      <w:lang w:val="en-US" w:eastAsia="zh-CN" w:bidi="ar-SA"/>
    </w:rPr>
  </w:style>
  <w:style w:type="character" w:customStyle="1" w:styleId="45">
    <w:name w:val="apple-converted-space"/>
    <w:qFormat/>
    <w:uiPriority w:val="0"/>
    <w:rPr>
      <w:rFonts w:ascii="Times New Roman" w:hAnsi="Times New Roman" w:eastAsia="宋体" w:cs="Times New Roman"/>
    </w:rPr>
  </w:style>
  <w:style w:type="paragraph" w:customStyle="1" w:styleId="46">
    <w:name w:val="二级无"/>
    <w:basedOn w:val="40"/>
    <w:qFormat/>
    <w:uiPriority w:val="0"/>
    <w:pPr>
      <w:ind w:left="568"/>
    </w:pPr>
    <w:rPr>
      <w:rFonts w:ascii="宋体"/>
      <w:szCs w:val="21"/>
    </w:rPr>
  </w:style>
  <w:style w:type="paragraph" w:customStyle="1" w:styleId="47">
    <w:name w:val="正文表标题"/>
    <w:next w:val="26"/>
    <w:qFormat/>
    <w:uiPriority w:val="0"/>
    <w:pPr>
      <w:tabs>
        <w:tab w:val="left" w:pos="720"/>
      </w:tabs>
      <w:spacing w:beforeLines="50" w:after="160" w:afterLines="50" w:line="278" w:lineRule="auto"/>
      <w:ind w:left="720" w:hanging="360"/>
      <w:jc w:val="center"/>
    </w:pPr>
    <w:rPr>
      <w:rFonts w:ascii="黑体" w:hAnsi="Times New Roman" w:eastAsia="黑体" w:cs="Times New Roman"/>
      <w:sz w:val="21"/>
      <w:lang w:val="en-US" w:eastAsia="zh-CN" w:bidi="ar-SA"/>
    </w:rPr>
  </w:style>
  <w:style w:type="paragraph" w:customStyle="1" w:styleId="48">
    <w:name w:val="正文图标题"/>
    <w:next w:val="26"/>
    <w:qFormat/>
    <w:uiPriority w:val="0"/>
    <w:pPr>
      <w:numPr>
        <w:ilvl w:val="0"/>
        <w:numId w:val="4"/>
      </w:numPr>
      <w:tabs>
        <w:tab w:val="left" w:pos="360"/>
      </w:tabs>
      <w:spacing w:beforeLines="50" w:after="160" w:afterLines="50" w:line="278" w:lineRule="auto"/>
      <w:ind w:left="0"/>
      <w:jc w:val="center"/>
    </w:pPr>
    <w:rPr>
      <w:rFonts w:ascii="黑体" w:hAnsi="Times New Roman" w:eastAsia="黑体" w:cs="Times New Roman"/>
      <w:sz w:val="21"/>
      <w:lang w:val="en-US" w:eastAsia="zh-CN" w:bidi="ar-SA"/>
    </w:rPr>
  </w:style>
  <w:style w:type="paragraph" w:customStyle="1" w:styleId="49">
    <w:name w:val="其他发布日期"/>
    <w:basedOn w:val="1"/>
    <w:qFormat/>
    <w:uiPriority w:val="0"/>
    <w:pPr>
      <w:framePr w:w="3997" w:h="471" w:hRule="exact" w:vSpace="181" w:wrap="around" w:vAnchor="page" w:hAnchor="page" w:x="1419" w:y="14097" w:anchorLock="1"/>
      <w:widowControl/>
      <w:numPr>
        <w:ilvl w:val="0"/>
        <w:numId w:val="5"/>
      </w:numPr>
      <w:jc w:val="left"/>
    </w:pPr>
    <w:rPr>
      <w:rFonts w:eastAsia="黑体"/>
      <w:kern w:val="0"/>
      <w:sz w:val="28"/>
      <w:szCs w:val="20"/>
    </w:rPr>
  </w:style>
  <w:style w:type="paragraph" w:customStyle="1" w:styleId="50">
    <w:name w:val="图表脚注说明"/>
    <w:basedOn w:val="1"/>
    <w:qFormat/>
    <w:uiPriority w:val="0"/>
    <w:pPr>
      <w:ind w:left="544" w:hanging="181"/>
    </w:pPr>
    <w:rPr>
      <w:rFonts w:ascii="宋体"/>
      <w:sz w:val="18"/>
      <w:szCs w:val="18"/>
    </w:rPr>
  </w:style>
  <w:style w:type="paragraph" w:customStyle="1" w:styleId="51">
    <w:name w:val="正文公式编号制表符"/>
    <w:basedOn w:val="26"/>
    <w:next w:val="26"/>
    <w:qFormat/>
    <w:uiPriority w:val="0"/>
    <w:pPr>
      <w:tabs>
        <w:tab w:val="center" w:pos="4201"/>
        <w:tab w:val="right" w:leader="dot" w:pos="9298"/>
      </w:tabs>
      <w:ind w:firstLine="0" w:firstLineChars="0"/>
    </w:pPr>
    <w:rPr>
      <w:rFonts w:ascii="Times New Roman"/>
    </w:rPr>
  </w:style>
  <w:style w:type="character" w:customStyle="1" w:styleId="52">
    <w:name w:val="font01"/>
    <w:qFormat/>
    <w:uiPriority w:val="0"/>
    <w:rPr>
      <w:rFonts w:hint="default" w:ascii="Times New Roman" w:hAnsi="Times New Roman" w:eastAsia="宋体" w:cs="Times New Roman"/>
      <w:color w:val="000000"/>
      <w:sz w:val="22"/>
      <w:szCs w:val="22"/>
      <w:u w:val="none"/>
    </w:rPr>
  </w:style>
  <w:style w:type="character" w:customStyle="1" w:styleId="53">
    <w:name w:val="font41"/>
    <w:qFormat/>
    <w:uiPriority w:val="0"/>
    <w:rPr>
      <w:rFonts w:hint="eastAsia" w:ascii="宋体" w:hAnsi="宋体" w:eastAsia="宋体" w:cs="宋体"/>
      <w:color w:val="000000"/>
      <w:sz w:val="22"/>
      <w:szCs w:val="22"/>
      <w:u w:val="none"/>
    </w:rPr>
  </w:style>
  <w:style w:type="paragraph" w:customStyle="1" w:styleId="54">
    <w:name w:val="标准文件_页眉奇数页"/>
    <w:next w:val="1"/>
    <w:qFormat/>
    <w:uiPriority w:val="0"/>
    <w:pPr>
      <w:tabs>
        <w:tab w:val="center" w:pos="4154"/>
        <w:tab w:val="right" w:pos="8306"/>
      </w:tabs>
      <w:spacing w:after="120" w:line="278" w:lineRule="auto"/>
      <w:jc w:val="right"/>
    </w:pPr>
    <w:rPr>
      <w:rFonts w:ascii="黑体" w:hAnsi="宋体" w:eastAsia="黑体" w:cs="Times New Roman"/>
      <w:sz w:val="21"/>
      <w:lang w:val="en-US" w:eastAsia="zh-CN" w:bidi="ar-SA"/>
    </w:rPr>
  </w:style>
  <w:style w:type="paragraph" w:customStyle="1" w:styleId="55">
    <w:name w:val="标准文件_页脚奇数页"/>
    <w:qFormat/>
    <w:uiPriority w:val="0"/>
    <w:pPr>
      <w:spacing w:after="160" w:line="278" w:lineRule="auto"/>
      <w:ind w:right="227"/>
      <w:jc w:val="right"/>
    </w:pPr>
    <w:rPr>
      <w:rFonts w:ascii="宋体" w:hAnsi="Times New Roman" w:eastAsia="宋体" w:cs="Times New Roman"/>
      <w:sz w:val="18"/>
      <w:lang w:val="en-US" w:eastAsia="zh-CN" w:bidi="ar-SA"/>
    </w:rPr>
  </w:style>
  <w:style w:type="paragraph" w:customStyle="1" w:styleId="56">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57">
    <w:name w:val="标准文件_附录表标题"/>
    <w:next w:val="27"/>
    <w:qFormat/>
    <w:uiPriority w:val="0"/>
    <w:pPr>
      <w:numPr>
        <w:ilvl w:val="1"/>
        <w:numId w:val="6"/>
      </w:numPr>
      <w:adjustRightInd w:val="0"/>
      <w:snapToGrid w:val="0"/>
      <w:spacing w:before="50" w:beforeLines="50" w:after="50" w:afterLines="50" w:line="278" w:lineRule="auto"/>
      <w:jc w:val="center"/>
      <w:textAlignment w:val="baseline"/>
    </w:pPr>
    <w:rPr>
      <w:rFonts w:ascii="黑体" w:hAnsi="Times New Roman" w:eastAsia="黑体" w:cs="Times New Roman"/>
      <w:kern w:val="21"/>
      <w:sz w:val="21"/>
      <w:lang w:val="en-US" w:eastAsia="zh-CN" w:bidi="ar-SA"/>
    </w:rPr>
  </w:style>
  <w:style w:type="table" w:customStyle="1" w:styleId="58">
    <w:name w:val="网格型2"/>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9">
    <w:name w:val="标准文件_附录二级条标题"/>
    <w:basedOn w:val="60"/>
    <w:next w:val="27"/>
    <w:qFormat/>
    <w:uiPriority w:val="0"/>
    <w:pPr>
      <w:widowControl/>
      <w:numPr>
        <w:ilvl w:val="2"/>
      </w:numPr>
      <w:wordWrap w:val="0"/>
      <w:overflowPunct w:val="0"/>
      <w:autoSpaceDE w:val="0"/>
      <w:autoSpaceDN w:val="0"/>
      <w:textAlignment w:val="baseline"/>
      <w:outlineLvl w:val="3"/>
    </w:pPr>
  </w:style>
  <w:style w:type="paragraph" w:customStyle="1" w:styleId="60">
    <w:name w:val="标准文件_附录一级条标题"/>
    <w:next w:val="27"/>
    <w:qFormat/>
    <w:uiPriority w:val="0"/>
    <w:pPr>
      <w:widowControl w:val="0"/>
      <w:numPr>
        <w:ilvl w:val="1"/>
        <w:numId w:val="7"/>
      </w:numPr>
      <w:spacing w:before="50" w:beforeLines="50" w:after="50" w:afterLines="50" w:line="278" w:lineRule="auto"/>
      <w:jc w:val="both"/>
      <w:outlineLvl w:val="2"/>
    </w:pPr>
    <w:rPr>
      <w:rFonts w:ascii="黑体" w:hAnsi="Times New Roman" w:eastAsia="黑体" w:cs="Times New Roman"/>
      <w:kern w:val="21"/>
      <w:sz w:val="21"/>
      <w:lang w:val="en-US" w:eastAsia="zh-CN" w:bidi="ar-SA"/>
    </w:rPr>
  </w:style>
  <w:style w:type="paragraph" w:customStyle="1" w:styleId="61">
    <w:name w:val="标准文件_字母编号列项（一级）"/>
    <w:qFormat/>
    <w:uiPriority w:val="0"/>
    <w:pPr>
      <w:numPr>
        <w:ilvl w:val="0"/>
        <w:numId w:val="8"/>
      </w:numPr>
      <w:spacing w:after="160" w:line="278" w:lineRule="auto"/>
      <w:jc w:val="both"/>
    </w:pPr>
    <w:rPr>
      <w:rFonts w:ascii="宋体" w:hAnsi="Times New Roman" w:eastAsia="宋体" w:cs="Times New Roman"/>
      <w:sz w:val="21"/>
      <w:lang w:val="en-US" w:eastAsia="zh-CN" w:bidi="ar-SA"/>
    </w:rPr>
  </w:style>
  <w:style w:type="paragraph" w:customStyle="1" w:styleId="62">
    <w:name w:val="标准文件_附录标识"/>
    <w:next w:val="27"/>
    <w:qFormat/>
    <w:uiPriority w:val="0"/>
    <w:pPr>
      <w:numPr>
        <w:ilvl w:val="0"/>
        <w:numId w:val="7"/>
      </w:numPr>
      <w:shd w:val="clear" w:color="FFFFFF" w:fill="FFFFFF"/>
      <w:tabs>
        <w:tab w:val="left" w:pos="6406"/>
      </w:tabs>
      <w:spacing w:before="560" w:after="50" w:afterLines="50" w:line="278" w:lineRule="auto"/>
      <w:jc w:val="center"/>
      <w:outlineLvl w:val="0"/>
    </w:pPr>
    <w:rPr>
      <w:rFonts w:ascii="黑体" w:hAnsi="Times New Roman" w:eastAsia="黑体" w:cs="Times New Roman"/>
      <w:sz w:val="21"/>
      <w:lang w:val="en-US" w:eastAsia="zh-CN" w:bidi="ar-SA"/>
    </w:rPr>
  </w:style>
  <w:style w:type="paragraph" w:customStyle="1" w:styleId="63">
    <w:name w:val="标准文件_附录二级无标题"/>
    <w:basedOn w:val="59"/>
    <w:qFormat/>
    <w:uiPriority w:val="0"/>
    <w:pPr>
      <w:spacing w:before="0" w:beforeLines="0" w:after="0" w:afterLines="0" w:line="276" w:lineRule="auto"/>
      <w:outlineLvl w:val="9"/>
    </w:pPr>
    <w:rPr>
      <w:rFonts w:ascii="宋体" w:eastAsia="宋体"/>
    </w:rPr>
  </w:style>
  <w:style w:type="paragraph" w:customStyle="1" w:styleId="64">
    <w:name w:val="标准文件_正文公式"/>
    <w:basedOn w:val="1"/>
    <w:next w:val="65"/>
    <w:qFormat/>
    <w:uiPriority w:val="0"/>
    <w:pPr>
      <w:tabs>
        <w:tab w:val="center" w:pos="4678"/>
        <w:tab w:val="right" w:leader="middleDot" w:pos="9356"/>
      </w:tabs>
      <w:spacing w:line="240" w:lineRule="auto"/>
    </w:pPr>
    <w:rPr>
      <w:rFonts w:ascii="宋体" w:hAnsi="宋体"/>
    </w:rPr>
  </w:style>
  <w:style w:type="paragraph" w:customStyle="1" w:styleId="65">
    <w:name w:val="标准文件_标准正文"/>
    <w:basedOn w:val="1"/>
    <w:next w:val="27"/>
    <w:qFormat/>
    <w:uiPriority w:val="0"/>
    <w:pPr>
      <w:snapToGrid w:val="0"/>
      <w:ind w:firstLine="200" w:firstLineChars="200"/>
    </w:pPr>
    <w:rPr>
      <w:kern w:val="0"/>
    </w:rPr>
  </w:style>
  <w:style w:type="paragraph" w:customStyle="1" w:styleId="66">
    <w:name w:val="正文1"/>
    <w:qFormat/>
    <w:uiPriority w:val="0"/>
    <w:pPr>
      <w:spacing w:after="160" w:line="278" w:lineRule="auto"/>
      <w:jc w:val="both"/>
    </w:pPr>
    <w:rPr>
      <w:rFonts w:ascii="Calibri" w:hAnsi="Calibri" w:eastAsia="宋体" w:cs="宋体"/>
      <w:kern w:val="2"/>
      <w:sz w:val="21"/>
      <w:szCs w:val="21"/>
      <w:lang w:val="en-US" w:eastAsia="zh-CN" w:bidi="ar-SA"/>
    </w:rPr>
  </w:style>
  <w:style w:type="paragraph" w:customStyle="1" w:styleId="67">
    <w:name w:val="标准文件_四级条标题"/>
    <w:next w:val="1"/>
    <w:qFormat/>
    <w:uiPriority w:val="0"/>
    <w:pPr>
      <w:widowControl w:val="0"/>
      <w:spacing w:before="50" w:beforeLines="50" w:after="50" w:afterLines="50" w:line="278" w:lineRule="auto"/>
      <w:jc w:val="both"/>
      <w:outlineLvl w:val="4"/>
    </w:pPr>
    <w:rPr>
      <w:rFonts w:ascii="黑体" w:hAnsi="Times New Roman" w:eastAsia="黑体" w:cs="Times New Roman"/>
      <w:sz w:val="21"/>
      <w:lang w:val="en-US" w:eastAsia="zh-CN" w:bidi="ar-SA"/>
    </w:rPr>
  </w:style>
  <w:style w:type="paragraph" w:customStyle="1" w:styleId="68">
    <w:name w:val="标准文件_五级条标题"/>
    <w:next w:val="1"/>
    <w:qFormat/>
    <w:uiPriority w:val="0"/>
    <w:pPr>
      <w:widowControl w:val="0"/>
      <w:spacing w:before="50" w:beforeLines="50" w:after="50" w:afterLines="50" w:line="278" w:lineRule="auto"/>
      <w:jc w:val="both"/>
      <w:outlineLvl w:val="5"/>
    </w:pPr>
    <w:rPr>
      <w:rFonts w:ascii="黑体" w:hAnsi="Times New Roman" w:eastAsia="黑体" w:cs="Times New Roman"/>
      <w:sz w:val="21"/>
      <w:lang w:val="en-US" w:eastAsia="zh-CN" w:bidi="ar-SA"/>
    </w:rPr>
  </w:style>
  <w:style w:type="paragraph" w:customStyle="1" w:styleId="69">
    <w:name w:val="前言标题"/>
    <w:next w:val="1"/>
    <w:qFormat/>
    <w:uiPriority w:val="0"/>
    <w:pPr>
      <w:shd w:val="clear" w:color="FFFFFF" w:fill="FFFFFF"/>
      <w:spacing w:before="540" w:after="600" w:line="278" w:lineRule="auto"/>
      <w:jc w:val="center"/>
      <w:outlineLvl w:val="0"/>
    </w:pPr>
    <w:rPr>
      <w:rFonts w:ascii="黑体" w:hAnsi="Times New Roman" w:eastAsia="黑体" w:cs="Times New Roman"/>
      <w:sz w:val="32"/>
      <w:lang w:val="en-US" w:eastAsia="zh-CN" w:bidi="ar-SA"/>
    </w:rPr>
  </w:style>
  <w:style w:type="paragraph" w:customStyle="1" w:styleId="70">
    <w:name w:val="标准文件_前言、引言标题"/>
    <w:next w:val="1"/>
    <w:qFormat/>
    <w:uiPriority w:val="0"/>
    <w:pPr>
      <w:numPr>
        <w:ilvl w:val="0"/>
        <w:numId w:val="9"/>
      </w:numPr>
      <w:shd w:val="clear" w:color="FFFFFF" w:fill="FFFFFF"/>
      <w:spacing w:before="480" w:after="150" w:afterLines="150" w:line="278" w:lineRule="auto"/>
      <w:jc w:val="center"/>
      <w:outlineLvl w:val="0"/>
    </w:pPr>
    <w:rPr>
      <w:rFonts w:ascii="黑体" w:hAnsi="Times New Roman" w:eastAsia="黑体" w:cs="Times New Roman"/>
      <w:sz w:val="32"/>
      <w:lang w:val="en-US" w:eastAsia="zh-CN" w:bidi="ar-SA"/>
    </w:rPr>
  </w:style>
  <w:style w:type="paragraph" w:customStyle="1" w:styleId="71">
    <w:name w:val="标准文件_引言一级条标题"/>
    <w:basedOn w:val="27"/>
    <w:next w:val="27"/>
    <w:qFormat/>
    <w:uiPriority w:val="0"/>
    <w:pPr>
      <w:numPr>
        <w:ilvl w:val="1"/>
        <w:numId w:val="9"/>
      </w:numPr>
      <w:spacing w:before="50" w:beforeLines="50" w:after="50" w:afterLines="50"/>
      <w:ind w:firstLineChars="0"/>
    </w:pPr>
    <w:rPr>
      <w:rFonts w:ascii="黑体" w:eastAsia="黑体"/>
    </w:rPr>
  </w:style>
  <w:style w:type="paragraph" w:customStyle="1" w:styleId="72">
    <w:name w:val="标准文件_引言二级条标题"/>
    <w:basedOn w:val="27"/>
    <w:next w:val="27"/>
    <w:qFormat/>
    <w:uiPriority w:val="0"/>
    <w:pPr>
      <w:numPr>
        <w:ilvl w:val="2"/>
        <w:numId w:val="9"/>
      </w:numPr>
      <w:spacing w:before="50" w:beforeLines="50" w:after="50" w:afterLines="50"/>
      <w:ind w:firstLineChars="0"/>
    </w:pPr>
    <w:rPr>
      <w:rFonts w:ascii="黑体" w:eastAsia="黑体"/>
    </w:rPr>
  </w:style>
  <w:style w:type="paragraph" w:customStyle="1" w:styleId="73">
    <w:name w:val="标准文件_引言三级条标题"/>
    <w:basedOn w:val="27"/>
    <w:next w:val="27"/>
    <w:qFormat/>
    <w:uiPriority w:val="0"/>
    <w:pPr>
      <w:numPr>
        <w:ilvl w:val="3"/>
        <w:numId w:val="9"/>
      </w:numPr>
      <w:spacing w:before="50" w:beforeLines="50" w:after="50" w:afterLines="50"/>
      <w:ind w:firstLineChars="0"/>
    </w:pPr>
    <w:rPr>
      <w:rFonts w:ascii="黑体" w:eastAsia="黑体"/>
    </w:rPr>
  </w:style>
  <w:style w:type="paragraph" w:customStyle="1" w:styleId="74">
    <w:name w:val="标准文件_引言四级条标题"/>
    <w:basedOn w:val="27"/>
    <w:next w:val="27"/>
    <w:qFormat/>
    <w:uiPriority w:val="0"/>
    <w:pPr>
      <w:numPr>
        <w:ilvl w:val="4"/>
        <w:numId w:val="9"/>
      </w:numPr>
      <w:spacing w:before="50" w:beforeLines="50" w:after="50" w:afterLines="50"/>
      <w:ind w:firstLineChars="0"/>
    </w:pPr>
    <w:rPr>
      <w:rFonts w:ascii="黑体" w:eastAsia="黑体"/>
    </w:rPr>
  </w:style>
  <w:style w:type="paragraph" w:customStyle="1" w:styleId="75">
    <w:name w:val="标准文件_引言五级条标题"/>
    <w:basedOn w:val="27"/>
    <w:next w:val="27"/>
    <w:qFormat/>
    <w:uiPriority w:val="0"/>
    <w:pPr>
      <w:numPr>
        <w:ilvl w:val="5"/>
        <w:numId w:val="9"/>
      </w:numPr>
      <w:spacing w:before="50" w:beforeLines="50" w:after="50" w:afterLines="50"/>
      <w:ind w:firstLineChars="0"/>
    </w:pPr>
    <w:rPr>
      <w:rFonts w:ascii="黑体" w:eastAsia="黑体"/>
    </w:rPr>
  </w:style>
  <w:style w:type="character" w:customStyle="1" w:styleId="76">
    <w:name w:val="标题 1 字符"/>
    <w:basedOn w:val="17"/>
    <w:link w:val="2"/>
    <w:qFormat/>
    <w:uiPriority w:val="0"/>
    <w:rPr>
      <w:b/>
      <w:bCs/>
      <w:kern w:val="44"/>
      <w:sz w:val="44"/>
      <w:szCs w:val="44"/>
    </w:rPr>
  </w:style>
  <w:style w:type="character" w:customStyle="1" w:styleId="77">
    <w:name w:val="标题 4 字符"/>
    <w:basedOn w:val="17"/>
    <w:link w:val="5"/>
    <w:semiHidden/>
    <w:qFormat/>
    <w:uiPriority w:val="0"/>
    <w:rPr>
      <w:rFonts w:asciiTheme="majorHAnsi" w:hAnsiTheme="majorHAnsi" w:eastAsiaTheme="majorEastAsia" w:cstheme="majorBidi"/>
      <w:b/>
      <w:bCs/>
      <w:kern w:val="2"/>
      <w:sz w:val="28"/>
      <w:szCs w:val="28"/>
    </w:rPr>
  </w:style>
  <w:style w:type="character" w:customStyle="1" w:styleId="78">
    <w:name w:val="标准文件_段 Char"/>
    <w:link w:val="27"/>
    <w:qFormat/>
    <w:uiPriority w:val="0"/>
    <w:rPr>
      <w:rFonts w:ascii="宋体"/>
      <w:sz w:val="21"/>
    </w:rPr>
  </w:style>
  <w:style w:type="paragraph" w:customStyle="1" w:styleId="79">
    <w:name w:val="标准文件_正文图标题"/>
    <w:next w:val="27"/>
    <w:qFormat/>
    <w:uiPriority w:val="0"/>
    <w:pPr>
      <w:numPr>
        <w:ilvl w:val="0"/>
        <w:numId w:val="10"/>
      </w:numPr>
      <w:spacing w:before="50" w:beforeLines="50" w:after="50" w:afterLines="50"/>
      <w:jc w:val="center"/>
    </w:pPr>
    <w:rPr>
      <w:rFonts w:ascii="黑体" w:hAnsi="Times New Roman" w:eastAsia="黑体" w:cs="Times New Roman"/>
      <w:sz w:val="21"/>
      <w:lang w:val="en-US" w:eastAsia="zh-CN" w:bidi="ar-SA"/>
    </w:rPr>
  </w:style>
  <w:style w:type="paragraph" w:customStyle="1" w:styleId="80">
    <w:name w:val="标准文件_表格"/>
    <w:basedOn w:val="27"/>
    <w:qFormat/>
    <w:uiPriority w:val="0"/>
    <w:pPr>
      <w:spacing w:after="0" w:line="240" w:lineRule="auto"/>
      <w:ind w:firstLine="0" w:firstLineChars="0"/>
      <w:jc w:val="center"/>
    </w:pPr>
    <w:rPr>
      <w:sz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17</Pages>
  <Words>6691</Words>
  <Characters>2264</Characters>
  <Lines>18</Lines>
  <Paragraphs>17</Paragraphs>
  <TotalTime>1</TotalTime>
  <ScaleCrop>false</ScaleCrop>
  <LinksUpToDate>false</LinksUpToDate>
  <CharactersWithSpaces>8938</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2025-07-07T03:50:00Z</dcterms:created>
  <dc:creator>曲晓秋</dc:creator>
  <cp:lastModifiedBy>A</cp:lastModifiedBy>
  <cp:lastPrinted>2013-12-29T00:28:00Z</cp:lastPrinted>
  <dcterms:modified xsi:type="dcterms:W3CDTF">2025-08-07T16:21:29Z</dcterms:modified>
  <dc:title>中华人民共和国建材行业标准JC/879-20XX</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382B586E4FD44137B21260A8E7AED6F5_13</vt:lpwstr>
  </property>
</Properties>
</file>