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bookmarkStart w:id="0" w:name="_GoBack"/>
      <w:bookmarkEnd w:id="0"/>
    </w:p>
    <w:p>
      <w:pPr>
        <w:spacing w:line="600" w:lineRule="exact"/>
        <w:jc w:val="center"/>
        <w:outlineLvl w:val="0"/>
        <w:rPr>
          <w:rFonts w:ascii="方正小标宋简体" w:hAnsi="Times New Roman" w:eastAsia="方正小标宋简体"/>
          <w:sz w:val="44"/>
          <w:szCs w:val="32"/>
        </w:rPr>
      </w:pPr>
      <w:r>
        <w:rPr>
          <w:rFonts w:hint="eastAsia" w:ascii="方正小标宋简体" w:hAnsi="Times New Roman" w:eastAsia="方正小标宋简体"/>
          <w:sz w:val="44"/>
          <w:szCs w:val="32"/>
        </w:rPr>
        <w:t>辽宁省“产业大脑”建设指标体系</w:t>
      </w:r>
    </w:p>
    <w:p>
      <w:pPr>
        <w:spacing w:line="600" w:lineRule="exact"/>
        <w:jc w:val="center"/>
        <w:rPr>
          <w:rFonts w:ascii="方正小标宋简体" w:hAnsi="Times New Roman" w:eastAsia="方正小标宋简体"/>
          <w:sz w:val="36"/>
        </w:rPr>
      </w:pPr>
      <w:r>
        <w:rPr>
          <w:rFonts w:hint="eastAsia" w:ascii="方正小标宋简体" w:hAnsi="Times New Roman" w:eastAsia="方正小标宋简体"/>
          <w:sz w:val="36"/>
        </w:rPr>
        <w:t>（试行）</w:t>
      </w:r>
    </w:p>
    <w:tbl>
      <w:tblPr>
        <w:tblStyle w:val="4"/>
        <w:tblpPr w:leftFromText="180" w:rightFromText="180" w:vertAnchor="text" w:tblpXSpec="center" w:tblpY="1"/>
        <w:tblOverlap w:val="never"/>
        <w:tblW w:w="14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901"/>
        <w:gridCol w:w="2863"/>
        <w:gridCol w:w="793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vAlign w:val="center"/>
          </w:tcPr>
          <w:p>
            <w:pPr>
              <w:spacing w:line="520" w:lineRule="exact"/>
              <w:jc w:val="center"/>
              <w:rPr>
                <w:rFonts w:hint="eastAsia" w:ascii="黑体" w:hAnsi="黑体" w:eastAsia="黑体"/>
                <w:sz w:val="28"/>
                <w:szCs w:val="28"/>
              </w:rPr>
            </w:pPr>
            <w:r>
              <w:rPr>
                <w:rFonts w:hint="eastAsia" w:ascii="黑体" w:hAnsi="黑体" w:eastAsia="黑体"/>
                <w:sz w:val="28"/>
                <w:szCs w:val="28"/>
              </w:rPr>
              <w:t>类型</w:t>
            </w:r>
          </w:p>
        </w:tc>
        <w:tc>
          <w:tcPr>
            <w:tcW w:w="901" w:type="dxa"/>
            <w:shd w:val="clear" w:color="auto" w:fill="auto"/>
            <w:vAlign w:val="center"/>
          </w:tcPr>
          <w:p>
            <w:pPr>
              <w:spacing w:line="520" w:lineRule="exact"/>
              <w:jc w:val="center"/>
              <w:rPr>
                <w:rFonts w:hint="eastAsia" w:ascii="黑体" w:hAnsi="黑体" w:eastAsia="黑体"/>
                <w:sz w:val="28"/>
                <w:szCs w:val="28"/>
              </w:rPr>
            </w:pPr>
            <w:r>
              <w:rPr>
                <w:rFonts w:hint="eastAsia" w:ascii="黑体" w:hAnsi="黑体" w:eastAsia="黑体"/>
                <w:sz w:val="28"/>
                <w:szCs w:val="28"/>
              </w:rPr>
              <w:t>编号</w:t>
            </w:r>
          </w:p>
        </w:tc>
        <w:tc>
          <w:tcPr>
            <w:tcW w:w="2863" w:type="dxa"/>
            <w:shd w:val="clear" w:color="auto" w:fill="auto"/>
            <w:vAlign w:val="center"/>
          </w:tcPr>
          <w:p>
            <w:pPr>
              <w:spacing w:line="520" w:lineRule="exact"/>
              <w:jc w:val="center"/>
              <w:rPr>
                <w:rFonts w:hint="eastAsia" w:ascii="黑体" w:hAnsi="黑体" w:eastAsia="黑体"/>
                <w:sz w:val="28"/>
                <w:szCs w:val="28"/>
              </w:rPr>
            </w:pPr>
            <w:r>
              <w:rPr>
                <w:rFonts w:hint="eastAsia" w:ascii="黑体" w:hAnsi="黑体" w:eastAsia="黑体"/>
                <w:sz w:val="28"/>
                <w:szCs w:val="28"/>
              </w:rPr>
              <w:t>指标名称</w:t>
            </w:r>
          </w:p>
        </w:tc>
        <w:tc>
          <w:tcPr>
            <w:tcW w:w="7938" w:type="dxa"/>
            <w:shd w:val="clear" w:color="auto" w:fill="auto"/>
            <w:vAlign w:val="center"/>
          </w:tcPr>
          <w:p>
            <w:pPr>
              <w:spacing w:line="520" w:lineRule="exact"/>
              <w:jc w:val="center"/>
              <w:rPr>
                <w:rFonts w:hint="eastAsia" w:ascii="黑体" w:hAnsi="黑体" w:eastAsia="黑体"/>
                <w:sz w:val="28"/>
                <w:szCs w:val="28"/>
              </w:rPr>
            </w:pPr>
            <w:r>
              <w:rPr>
                <w:rFonts w:hint="eastAsia" w:ascii="黑体" w:hAnsi="黑体" w:eastAsia="黑体"/>
                <w:sz w:val="28"/>
                <w:szCs w:val="28"/>
              </w:rPr>
              <w:t>指标说明</w:t>
            </w:r>
          </w:p>
        </w:tc>
        <w:tc>
          <w:tcPr>
            <w:tcW w:w="992" w:type="dxa"/>
            <w:shd w:val="clear" w:color="auto" w:fill="auto"/>
            <w:vAlign w:val="center"/>
          </w:tcPr>
          <w:p>
            <w:pPr>
              <w:spacing w:line="520" w:lineRule="exact"/>
              <w:jc w:val="center"/>
              <w:rPr>
                <w:rFonts w:hint="eastAsia" w:ascii="黑体" w:hAnsi="黑体" w:eastAsia="黑体"/>
                <w:sz w:val="28"/>
                <w:szCs w:val="28"/>
              </w:rPr>
            </w:pPr>
            <w:r>
              <w:rPr>
                <w:rFonts w:hint="eastAsia" w:ascii="黑体" w:hAnsi="黑体" w:eastAsia="黑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一、产业发展水平</w:t>
            </w:r>
          </w:p>
        </w:tc>
        <w:tc>
          <w:tcPr>
            <w:tcW w:w="901"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L1P1</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产业规模</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上年度产业集群或产业链范围内所有企业的主营业务收入总和</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L1P2</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产业布局</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产业方向列入省级或市级中长期规划数量，如4个万亿级产业基地、22个重点产业集群等。</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L1P3</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产业链健全度</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产业集群范围内以链主企业为核心的各环节链条企业分布情况</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L1P4</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产业集聚度</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上年度产业集群或产业链主营收入与所在区县整体产值的占比</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L1P5</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产业链企业数量</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产业集群或产业链范围内企业数量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L1P6</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产业链规上企业数量</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产业集群或产业链范围内规上企业数量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L1P7</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优势企业数量</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辽宁省瞪羚企业、“专精特新”企业、制造业单项冠军、“整零共同体”链主企业等数量总和</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L1P8</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链主企业产值</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上年度产业链链主企业（占据优势地位，显著的辐射带动作用，对上下游大部分企业的资源配置和应用具有较强的直接或间接影响力）产值</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L1P9</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产业影响力</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产业集群获国家级、省级各类荣誉数量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二、数据支撑能力</w:t>
            </w: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L2P1</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存储与计算资源</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产业集群所拥有的数据中心建设情况，包括省级区域中心、行业中心和边缘中心；或规划建设满足“产业大脑”存力和算力要求的算力中心或工业云</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TB/EFLOPS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L2P2</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重点产业数据仓</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重点产业数据仓可作为综合数据仓，汇聚发改、工信、科技、税务、统计等政府部门公共数据，包含数据资源载体的类型、数量以及存储量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L2P3</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行业数据仓</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行业数据仓汇聚电信运营商、互联网企业、区域级行业协会、研究机构等第三方数据资源，包括数据资源载体的类型、数量和存储量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L2P4</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企业数据仓</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企业数据仓汇聚企业研发、设计、生产、采购、营销等环节数据，包含数据资源载体的类型、数量以及存储量。每个企业与产业大脑之间通过标准化接口进行数据流通。</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三、数据价值释放能力</w:t>
            </w: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L3P1</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产业大脑服务平台</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辽宁省工业互联网公共服务平台应实现统一接入标准规范，实时汇聚、监测、治理和分析产业全域数据。面向政府侧提供产业全景图谱、产业作战地图、产业动态监测、沿链精准招商、企业迁移监测、绿色低碳治理等数据服务；面向企业侧提供数字集采、协同制造、产能共享、数字集销、交易撮合、数字金融等数据服务。</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L3P2</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工业大数据应用场景构建水平</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以数据要素流通为核心,基于产业大脑构建工业大数据应用场景库功能，面向社会资源配置实现协同制造、制造能力交易、产品溯源与设计反馈优化等在库应用场景数量；以数据要素为核心驱动特定行业的业务流程再造、资源要素重组、产品研发创新等。</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L3P3</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能力组件构建水平</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以数据要素流通为核心,基于产业大脑开发研发仿真、业务流程、行业机理、数据算法等工业模型和工业APP，包括“小快轻准”解决方案的数量、类型，上架全省工业经济大脑数量等</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L3P4</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智能工厂、数字化车间培育能力</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面向生产现场实现制造工艺、生产流程、质量管理、设备维护和能耗管理的优化。链接智能工厂、数字化车间等，以数据要素流通为核心,基于产业大脑培育智能工厂、数字化车间数量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L3P5</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数据管理能力水平</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通过DCMM(数据管理能力成熟度评估模型)2级及以上评估认证的企业数量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L3P6</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赋能工业互联网平台建设</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以数据要素流通为核心,基于产业大脑链接打造细分行业工业互联网平台建设，包括基于平台的精准化营销、平台化设计、个性化定制、网络化协同、服务化延伸等示范应用场景数量获以及国家级、省级工业互联网平台数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L3P7</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赋能产业链发展韧性</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以数据要素流通应用为核心，促进产业链上下游产能共享、供应链互通，涵盖产业链经济监测和公共服务平台的建设情况。</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L3P8</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培育数据驱动的新业态新模式</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以数据要素流通应用为核心，推动全要素、全产业链、全价值链的全面链接，实现订单、技工、产能等资源共享，包括供应链金融、平台经济、共享经济、绿色经济等新业态的示范案例数量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四、技术创新能力</w:t>
            </w: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L4P1</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科技创新平台数量</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省级及以上主管部门认定的重点实验室、工程技术研究中心、企业技术中心、院士工作站、博士后科研工作站、新型研发机构等数量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L4P2</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省级科研立项数量</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获得省级及以上重大科研立项的数字经济领域产学研数量，包括省级科技项目、攻克制约产业发展“卡脖子”技术、关键共性技术难题等</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五、运营保障水平</w:t>
            </w: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L5P1</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组织领导机制</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所在市、县（市、区）人民政府和功能区管理委员会成立产业大脑推进工作小组，统筹推进产业大脑建设</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L5P2</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管理运营专业化</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管理运营制度、办法建设健全，形成既具备市场活力、又保持稳定运行和持续迭代的运营管理模式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L5P3</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数据管理制度</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具备完善的企业认证、数据登记、数据上架、数据交易、数据服务等标规则管理体系；形成企业数据授权使用新模式</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shd w:val="clear" w:color="auto" w:fill="auto"/>
            <w:vAlign w:val="center"/>
          </w:tcPr>
          <w:p>
            <w:pPr>
              <w:spacing w:line="440" w:lineRule="exact"/>
              <w:jc w:val="center"/>
              <w:rPr>
                <w:rFonts w:ascii="仿宋_GB2312" w:hAnsi="Times New Roman" w:eastAsia="仿宋_GB2312"/>
                <w:sz w:val="28"/>
                <w:szCs w:val="28"/>
              </w:rPr>
            </w:pPr>
          </w:p>
        </w:tc>
        <w:tc>
          <w:tcPr>
            <w:tcW w:w="901"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L5P4</w:t>
            </w:r>
          </w:p>
        </w:tc>
        <w:tc>
          <w:tcPr>
            <w:tcW w:w="2863"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资金支持强度</w:t>
            </w:r>
          </w:p>
        </w:tc>
        <w:tc>
          <w:tcPr>
            <w:tcW w:w="7938" w:type="dxa"/>
            <w:shd w:val="clear" w:color="auto" w:fill="auto"/>
            <w:vAlign w:val="center"/>
          </w:tcPr>
          <w:p>
            <w:pPr>
              <w:spacing w:line="440" w:lineRule="exact"/>
              <w:rPr>
                <w:rFonts w:ascii="仿宋_GB2312" w:hAnsi="Times New Roman" w:eastAsia="仿宋_GB2312"/>
                <w:sz w:val="28"/>
                <w:szCs w:val="28"/>
              </w:rPr>
            </w:pPr>
            <w:r>
              <w:rPr>
                <w:rFonts w:hint="eastAsia" w:ascii="仿宋_GB2312" w:hAnsi="Times New Roman" w:eastAsia="仿宋_GB2312"/>
                <w:sz w:val="28"/>
                <w:szCs w:val="28"/>
              </w:rPr>
              <w:t>所在市、县(市、区)人民政府出台支持产业大脑建设专项政策，包括但不限于数字辽宁智造强省专项资金（智造强省方向）等专项资金，和设立专项基金带动社会资本投入总额</w:t>
            </w:r>
          </w:p>
        </w:tc>
        <w:tc>
          <w:tcPr>
            <w:tcW w:w="992" w:type="dxa"/>
            <w:shd w:val="clear" w:color="auto" w:fill="auto"/>
            <w:vAlign w:val="center"/>
          </w:tcPr>
          <w:p>
            <w:pPr>
              <w:spacing w:line="440" w:lineRule="exact"/>
              <w:jc w:val="center"/>
              <w:rPr>
                <w:rFonts w:ascii="仿宋_GB2312" w:hAnsi="Times New Roman" w:eastAsia="仿宋_GB2312"/>
                <w:sz w:val="28"/>
                <w:szCs w:val="28"/>
              </w:rPr>
            </w:pPr>
            <w:r>
              <w:rPr>
                <w:rFonts w:hint="eastAsia" w:ascii="仿宋_GB2312" w:hAnsi="Times New Roman" w:eastAsia="仿宋_GB2312"/>
                <w:sz w:val="28"/>
                <w:szCs w:val="28"/>
              </w:rPr>
              <w:t>万元</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EA"/>
    <w:rsid w:val="003072E5"/>
    <w:rsid w:val="00423F9C"/>
    <w:rsid w:val="005C062B"/>
    <w:rsid w:val="006B5BF9"/>
    <w:rsid w:val="00796380"/>
    <w:rsid w:val="008B46EA"/>
    <w:rsid w:val="009A0F47"/>
    <w:rsid w:val="00D774B8"/>
    <w:rsid w:val="00EE0CAD"/>
    <w:rsid w:val="EFC8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14:ligatures w14:val="none"/>
    </w:rPr>
  </w:style>
  <w:style w:type="character" w:customStyle="1" w:styleId="7">
    <w:name w:val="页脚 字符"/>
    <w:basedOn w:val="5"/>
    <w:link w:val="2"/>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321</Words>
  <Characters>1835</Characters>
  <Lines>15</Lines>
  <Paragraphs>4</Paragraphs>
  <TotalTime>8</TotalTime>
  <ScaleCrop>false</ScaleCrop>
  <LinksUpToDate>false</LinksUpToDate>
  <CharactersWithSpaces>2152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2024-10-09T14:16:00Z</dcterms:created>
  <dc:creator>静一 鹿</dc:creator>
  <cp:lastModifiedBy>user</cp:lastModifiedBy>
  <dcterms:modified xsi:type="dcterms:W3CDTF">2024-12-06T14:57:51Z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FD14BA71F80945736FA052675ADFCF8E</vt:lpwstr>
  </property>
</Properties>
</file>