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framePr w:wrap="around"/>
        <w:spacing w:line="360" w:lineRule="auto"/>
        <w:rPr>
          <w:rFonts w:hint="eastAsia" w:ascii="黑体" w:hAnsi="黑体" w:eastAsia="黑体" w:cs="黑体"/>
          <w:color w:val="auto"/>
          <w:highlight w:val="none"/>
        </w:rPr>
      </w:pPr>
      <w:bookmarkStart w:id="0" w:name="StandardName"/>
      <w:r>
        <w:rPr>
          <w:rFonts w:hint="eastAsia" w:ascii="黑体" w:hAnsi="黑体" w:eastAsia="黑体" w:cs="黑体"/>
          <w:color w:val="auto"/>
          <w:highlight w:val="none"/>
        </w:rPr>
        <w:t>ICS03.080</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9854" w:type="dxa"/>
            <w:tcBorders>
              <w:top w:val="nil"/>
              <w:left w:val="nil"/>
              <w:bottom w:val="nil"/>
              <w:right w:val="nil"/>
            </w:tcBorders>
          </w:tcPr>
          <w:p>
            <w:pPr>
              <w:pStyle w:val="30"/>
              <w:framePr w:wrap="around"/>
              <w:spacing w:line="360" w:lineRule="auto"/>
              <w:rPr>
                <w:rFonts w:hint="eastAsia" w:ascii="黑体" w:hAnsi="黑体" w:eastAsia="黑体" w:cs="黑体"/>
                <w:color w:val="auto"/>
                <w:highlight w:val="none"/>
              </w:rPr>
            </w:pPr>
            <w:r>
              <w:rPr>
                <w:rFonts w:hint="eastAsia" w:ascii="黑体" w:hAnsi="黑体" w:eastAsia="黑体" w:cs="黑体"/>
                <w:color w:val="auto"/>
                <w:highlight w:val="none"/>
              </w:rPr>
              <w:t>CCS</w:t>
            </w:r>
            <w:r>
              <w:rPr>
                <w:rFonts w:hint="eastAsia" w:ascii="黑体" w:hAnsi="黑体" w:eastAsia="黑体" w:cs="黑体"/>
                <w:color w:val="auto"/>
                <w:highlight w:val="none"/>
              </w:rPr>
              <mc:AlternateContent>
                <mc:Choice Requires="wps">
                  <w:drawing>
                    <wp:anchor distT="0" distB="0" distL="114300" distR="114300" simplePos="0" relativeHeight="251668480" behindDoc="1" locked="0" layoutInCell="1" allowOverlap="1">
                      <wp:simplePos x="0" y="0"/>
                      <wp:positionH relativeFrom="column">
                        <wp:posOffset>85725</wp:posOffset>
                      </wp:positionH>
                      <wp:positionV relativeFrom="paragraph">
                        <wp:posOffset>152400</wp:posOffset>
                      </wp:positionV>
                      <wp:extent cx="866775" cy="198120"/>
                      <wp:effectExtent l="0" t="0" r="1905" b="0"/>
                      <wp:wrapNone/>
                      <wp:docPr id="7" name="矩形 7"/>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pPr>
                                    <w:rPr>
                                      <w:color w:val="FFFFFF" w:themeColor="background1"/>
                                      <w14:textFill>
                                        <w14:noFill/>
                                      </w14:textFill>
                                    </w:rPr>
                                  </w:pPr>
                                </w:p>
                              </w:txbxContent>
                            </wps:txbx>
                            <wps:bodyPr upright="1"/>
                          </wps:wsp>
                        </a:graphicData>
                      </a:graphic>
                    </wp:anchor>
                  </w:drawing>
                </mc:Choice>
                <mc:Fallback>
                  <w:pict>
                    <v:rect id="_x0000_s1026" o:spid="_x0000_s1026" o:spt="1" style="position:absolute;left:0pt;margin-left:6.75pt;margin-top:12pt;height:15.6pt;width:68.25pt;z-index:-251648000;mso-width-relative:page;mso-height-relative:page;" fillcolor="#FFFFFF" filled="t" stroked="f" coordsize="21600,21600" o:gfxdata="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S01zVAAAACAEAAA8AAAAAAAAAAQAgAAAAIgAAAGRycy9kb3ducmV2LnhtbFBLAQIUABQAAAAI&#10;AIdO4kA5844otwEAAGkDAAAOAAAAAAAAAAEAIAAAACQBAABkcnMvZTJvRG9jLnhtbFBLBQYAAAAA&#10;BgAGAFkBAABNBQAAAAA=&#10;">
                      <v:fill on="t" focussize="0,0"/>
                      <v:stroke on="f"/>
                      <v:imagedata o:title=""/>
                      <o:lock v:ext="edit" aspectratio="f"/>
                      <v:textbox>
                        <w:txbxContent>
                          <w:p>
                            <w:pPr>
                              <w:rPr>
                                <w:color w:val="FFFFFF" w:themeColor="background1"/>
                                <w14:textFill>
                                  <w14:noFill/>
                                </w14:textFill>
                              </w:rPr>
                            </w:pPr>
                          </w:p>
                        </w:txbxContent>
                      </v:textbox>
                    </v:rect>
                  </w:pict>
                </mc:Fallback>
              </mc:AlternateContent>
            </w:r>
            <w:r>
              <w:rPr>
                <w:rFonts w:hint="eastAsia" w:ascii="黑体" w:hAnsi="黑体" w:eastAsia="黑体" w:cs="黑体"/>
                <w:color w:val="auto"/>
                <w:highlight w:val="none"/>
              </w:rPr>
              <w:t>A16</w:t>
            </w:r>
            <w:r>
              <w:rPr>
                <w:rFonts w:hint="eastAsia" w:ascii="黑体" w:hAnsi="黑体" w:eastAsia="黑体" w:cs="黑体"/>
                <w:color w:val="auto"/>
                <w:highlight w:val="none"/>
              </w:rPr>
              <mc:AlternateContent>
                <mc:Choice Requires="wps">
                  <w:drawing>
                    <wp:anchor distT="0" distB="0" distL="114300" distR="114300" simplePos="0" relativeHeight="25166745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4902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P6bJptwEAAGkDAAAOAAAAAAAAAAEAIAAAACQBAABkcnMvZTJvRG9jLnhtbFBLBQYAAAAA&#10;BgAGAFkBAABNBQAAAAA=&#10;">
                      <v:fill on="t" focussize="0,0"/>
                      <v:stroke on="f"/>
                      <v:imagedata o:title=""/>
                      <o:lock v:ext="edit" aspectratio="f"/>
                      <v:textbox>
                        <w:txbxContent>
                          <w:p/>
                        </w:txbxContent>
                      </v:textbox>
                    </v:rect>
                  </w:pict>
                </mc:Fallback>
              </mc:AlternateContent>
            </w:r>
          </w:p>
        </w:tc>
      </w:tr>
    </w:tbl>
    <w:p>
      <w:pPr>
        <w:pStyle w:val="31"/>
        <w:framePr w:wrap="around"/>
        <w:shd w:val="clear" w:color="FFFFFF" w:fill="FFFFFF"/>
        <w:spacing w:line="360" w:lineRule="auto"/>
        <w:rPr>
          <w:color w:val="auto"/>
          <w:highlight w:val="none"/>
        </w:rPr>
      </w:pPr>
      <w:r>
        <w:rPr>
          <w:color w:val="auto"/>
          <w:highlight w:val="none"/>
        </w:rPr>
        <w:t>DB</w:t>
      </w:r>
      <w:r>
        <w:rPr>
          <w:rFonts w:hint="eastAsia"/>
          <w:color w:val="auto"/>
          <w:highlight w:val="none"/>
        </w:rPr>
        <w:t>21</w:t>
      </w:r>
    </w:p>
    <w:p>
      <w:pPr>
        <w:pStyle w:val="33"/>
        <w:framePr w:wrap="around"/>
        <w:spacing w:line="360" w:lineRule="auto"/>
        <w:rPr>
          <w:color w:val="auto"/>
          <w:highlight w:val="none"/>
        </w:rPr>
      </w:pPr>
      <w:r>
        <w:rPr>
          <w:rFonts w:hint="eastAsia"/>
          <w:color w:val="auto"/>
          <w:highlight w:val="none"/>
        </w:rPr>
        <w:t>辽宁省地方标准</w:t>
      </w:r>
    </w:p>
    <w:p>
      <w:pPr>
        <w:pStyle w:val="34"/>
        <w:framePr w:wrap="around"/>
        <w:spacing w:line="360" w:lineRule="auto"/>
        <w:rPr>
          <w:rFonts w:hint="eastAsia" w:ascii="黑体" w:hAnsi="黑体" w:eastAsia="黑体" w:cs="黑体"/>
          <w:color w:val="auto"/>
          <w:highlight w:val="none"/>
        </w:rPr>
      </w:pPr>
      <w:r>
        <w:rPr>
          <w:rFonts w:hint="eastAsia" w:ascii="黑体" w:hAnsi="黑体" w:eastAsia="黑体" w:cs="黑体"/>
          <w:color w:val="auto"/>
          <w:highlight w:val="none"/>
        </w:rPr>
        <w:t>DB21/TXXXX—XXXX</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5"/>
              <w:framePr w:wrap="around"/>
              <w:spacing w:line="360" w:lineRule="auto"/>
              <w:rPr>
                <w:color w:val="auto"/>
                <w:highlight w:val="none"/>
              </w:rPr>
            </w:pPr>
          </w:p>
        </w:tc>
      </w:tr>
    </w:tbl>
    <w:p>
      <w:pPr>
        <w:pStyle w:val="34"/>
        <w:framePr w:wrap="around"/>
        <w:spacing w:line="360" w:lineRule="auto"/>
        <w:rPr>
          <w:color w:val="auto"/>
          <w:highlight w:val="none"/>
        </w:rPr>
      </w:pPr>
    </w:p>
    <w:p>
      <w:pPr>
        <w:pStyle w:val="34"/>
        <w:framePr w:wrap="around"/>
        <w:spacing w:line="360" w:lineRule="auto"/>
        <w:rPr>
          <w:color w:val="auto"/>
          <w:highlight w:val="none"/>
        </w:rPr>
      </w:pPr>
    </w:p>
    <w:p>
      <w:pPr>
        <w:pStyle w:val="36"/>
        <w:framePr w:wrap="around" w:x="1390" w:y="6437"/>
        <w:spacing w:line="360" w:lineRule="auto"/>
        <w:rPr>
          <w:rFonts w:hint="default" w:eastAsia="黑体"/>
          <w:color w:val="auto"/>
          <w:szCs w:val="22"/>
          <w:highlight w:val="none"/>
          <w:lang w:val="en-US" w:eastAsia="zh-CN"/>
        </w:rPr>
      </w:pPr>
      <w:bookmarkStart w:id="163" w:name="_GoBack"/>
      <w:r>
        <w:rPr>
          <w:rFonts w:hint="eastAsia"/>
          <w:color w:val="auto"/>
          <w:szCs w:val="22"/>
          <w:highlight w:val="none"/>
          <w:lang w:val="en-US" w:eastAsia="zh-CN"/>
        </w:rPr>
        <w:t>工业数据流通  数据安全要求</w:t>
      </w:r>
    </w:p>
    <w:bookmarkEnd w:id="163"/>
    <w:p>
      <w:pPr>
        <w:pStyle w:val="37"/>
        <w:framePr w:wrap="around" w:x="1390" w:y="6437"/>
        <w:spacing w:line="360" w:lineRule="auto"/>
        <w:rPr>
          <w:color w:val="auto"/>
          <w:highlight w:val="none"/>
        </w:rPr>
      </w:pPr>
    </w:p>
    <w:p>
      <w:pPr>
        <w:pStyle w:val="38"/>
        <w:framePr w:wrap="around" w:x="1390" w:y="6437"/>
        <w:spacing w:line="360" w:lineRule="auto"/>
        <w:rPr>
          <w:color w:val="auto"/>
          <w:highlight w:val="none"/>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8"/>
              <w:framePr w:wrap="around" w:x="1390" w:y="6437"/>
              <w:spacing w:line="360" w:lineRule="auto"/>
              <w:rPr>
                <w:color w:val="auto"/>
                <w:highlight w:val="none"/>
              </w:rPr>
            </w:pPr>
            <w:r>
              <w:rPr>
                <w:rFonts w:hint="eastAsia"/>
                <w:color w:val="auto"/>
                <w:highlight w:val="none"/>
              </w:rPr>
              <w:t>在提交反馈意见时，请将您知道的相关专利连同支持性文件一并附上。</w:t>
            </w:r>
            <w:r>
              <w:rPr>
                <w:color w:val="auto"/>
                <w:highlight w:val="none"/>
              </w:rPr>
              <mc:AlternateContent>
                <mc:Choice Requires="wps">
                  <w:drawing>
                    <wp:anchor distT="0" distB="0" distL="114300" distR="114300" simplePos="0" relativeHeight="251666432" behindDoc="1" locked="1" layoutInCell="1" allowOverlap="1">
                      <wp:simplePos x="0" y="0"/>
                      <wp:positionH relativeFrom="column">
                        <wp:posOffset>2200910</wp:posOffset>
                      </wp:positionH>
                      <wp:positionV relativeFrom="paragraph">
                        <wp:posOffset>4281805</wp:posOffset>
                      </wp:positionV>
                      <wp:extent cx="1905000" cy="254000"/>
                      <wp:effectExtent l="0" t="0" r="0" b="5080"/>
                      <wp:wrapNone/>
                      <wp:docPr id="9" name="矩形 9"/>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337.15pt;height:20pt;width:150pt;z-index:-25165004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1/fg1wAAAAsBAAAPAAAAAAAAAAEAIAAAACIAAABkcnMvZG93bnJldi54bWxQSwECFAAUAAAACACH&#10;TuJAgETJ2bMBAABqAwAADgAAAAAAAAABACAAAAAmAQAAZHJzL2Uyb0RvYy54bWxQSwUGAAAAAAYA&#10;BgBZAQAASwUAAAAA&#10;">
                      <v:fill on="t" focussize="0,0"/>
                      <v:stroke on="f"/>
                      <v:imagedata o:title=""/>
                      <o:lock v:ext="edit" aspectratio="f"/>
                      <v:textbox>
                        <w:txbxContent>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40"/>
              <w:framePr w:wrap="around" w:x="1390" w:y="6437"/>
              <w:spacing w:line="360" w:lineRule="auto"/>
              <w:rPr>
                <w:color w:val="auto"/>
                <w:highlight w:val="none"/>
              </w:rPr>
            </w:pPr>
          </w:p>
        </w:tc>
      </w:tr>
    </w:tbl>
    <w:p>
      <w:pPr>
        <w:pStyle w:val="41"/>
        <w:framePr w:wrap="around" w:hAnchor="page" w:x="1549" w:y="14053"/>
        <w:spacing w:line="360" w:lineRule="auto"/>
        <w:rPr>
          <w:color w:val="auto"/>
          <w:highlight w:val="none"/>
        </w:rPr>
      </w:pPr>
      <w:r>
        <w:rPr>
          <w:rFonts w:ascii="宋体" w:hAnsi="宋体"/>
          <w:color w:val="auto"/>
          <w:highlight w:val="none"/>
        </w:rPr>
        <w:t>XXXX</w:t>
      </w:r>
      <w:r>
        <w:rPr>
          <w:rFonts w:hint="eastAsia" w:ascii="黑体"/>
          <w:color w:val="auto"/>
          <w:highlight w:val="none"/>
          <w:lang w:eastAsia="zh-CN"/>
        </w:rPr>
        <w:t>—</w:t>
      </w:r>
      <w:r>
        <w:rPr>
          <w:rFonts w:ascii="宋体" w:hAnsi="宋体"/>
          <w:color w:val="auto"/>
          <w:highlight w:val="none"/>
        </w:rPr>
        <w:t>XX</w:t>
      </w:r>
      <w:r>
        <w:rPr>
          <w:rFonts w:hint="eastAsia" w:ascii="黑体"/>
          <w:color w:val="auto"/>
          <w:highlight w:val="none"/>
          <w:lang w:eastAsia="zh-CN"/>
        </w:rPr>
        <w:t>—</w:t>
      </w:r>
      <w:r>
        <w:rPr>
          <w:rFonts w:ascii="宋体" w:hAnsi="宋体"/>
          <w:color w:val="auto"/>
          <w:highlight w:val="none"/>
        </w:rPr>
        <w:t>XX</w:t>
      </w:r>
      <w:r>
        <w:rPr>
          <w:rFonts w:hint="eastAsia"/>
          <w:color w:val="auto"/>
          <w:highlight w:val="none"/>
        </w:rPr>
        <w:t>发布</w:t>
      </w:r>
      <w:r>
        <w:rPr>
          <w:color w:val="auto"/>
          <w:highlight w:val="none"/>
        </w:rPr>
        <mc:AlternateContent>
          <mc:Choice Requires="wps">
            <w:drawing>
              <wp:anchor distT="0" distB="0" distL="114300" distR="114300" simplePos="0" relativeHeight="251669504" behindDoc="0" locked="1" layoutInCell="1" allowOverlap="1">
                <wp:simplePos x="0" y="0"/>
                <wp:positionH relativeFrom="column">
                  <wp:posOffset>3810</wp:posOffset>
                </wp:positionH>
                <wp:positionV relativeFrom="page">
                  <wp:posOffset>-3421380</wp:posOffset>
                </wp:positionV>
                <wp:extent cx="612013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pt;margin-top:-269.4pt;height:0pt;width:481.9pt;mso-position-vertical-relative:page;z-index:251669504;mso-width-relative:page;mso-height-relative:page;" filled="f" stroked="t" coordsize="21600,21600" o:gfxdata="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N&#10;SeHWAAAACgEAAA8AAAAAAAAAAQAgAAAAIgAAAGRycy9kb3ducmV2LnhtbFBLAQIUABQAAAAIAIdO&#10;4kBDcSyU7AEAANoDAAAOAAAAAAAAAAEAIAAAACUBAABkcnMvZTJvRG9jLnhtbFBLBQYAAAAABgAG&#10;AFkBAACDBQAAAAA=&#10;">
                <v:fill on="f" focussize="0,0"/>
                <v:stroke color="#000000" joinstyle="round"/>
                <v:imagedata o:title=""/>
                <o:lock v:ext="edit" aspectratio="f"/>
                <w10:anchorlock/>
              </v:line>
            </w:pict>
          </mc:Fallback>
        </mc:AlternateContent>
      </w:r>
    </w:p>
    <w:p>
      <w:pPr>
        <w:pStyle w:val="43"/>
        <w:framePr w:wrap="around" w:hAnchor="page" w:x="7006" w:y="13981"/>
        <w:spacing w:line="360" w:lineRule="auto"/>
        <w:rPr>
          <w:color w:val="auto"/>
          <w:highlight w:val="none"/>
        </w:rPr>
      </w:pPr>
      <w:r>
        <w:rPr>
          <w:rFonts w:ascii="宋体" w:hAnsi="宋体"/>
          <w:color w:val="auto"/>
          <w:highlight w:val="none"/>
        </w:rPr>
        <w:t>XXXX</w:t>
      </w:r>
      <w:r>
        <w:rPr>
          <w:rFonts w:hint="eastAsia" w:ascii="黑体"/>
          <w:color w:val="auto"/>
          <w:highlight w:val="none"/>
          <w:lang w:eastAsia="zh-CN"/>
        </w:rPr>
        <w:t>—</w:t>
      </w:r>
      <w:r>
        <w:rPr>
          <w:rFonts w:ascii="宋体" w:hAnsi="宋体"/>
          <w:color w:val="auto"/>
          <w:highlight w:val="none"/>
        </w:rPr>
        <w:t>XX</w:t>
      </w:r>
      <w:r>
        <w:rPr>
          <w:rFonts w:hint="eastAsia" w:ascii="黑体"/>
          <w:color w:val="auto"/>
          <w:highlight w:val="none"/>
          <w:lang w:eastAsia="zh-CN"/>
        </w:rPr>
        <w:t>—</w:t>
      </w:r>
      <w:r>
        <w:rPr>
          <w:rFonts w:ascii="宋体" w:hAnsi="宋体"/>
          <w:color w:val="auto"/>
          <w:highlight w:val="none"/>
        </w:rPr>
        <w:t>XX</w:t>
      </w:r>
      <w:r>
        <w:rPr>
          <w:rFonts w:hint="eastAsia"/>
          <w:color w:val="auto"/>
          <w:highlight w:val="none"/>
        </w:rPr>
        <w:t>实施</w:t>
      </w:r>
    </w:p>
    <w:p>
      <w:pPr>
        <w:pStyle w:val="45"/>
        <w:framePr w:wrap="around"/>
        <w:spacing w:line="360" w:lineRule="auto"/>
        <w:rPr>
          <w:rFonts w:hAnsi="黑体" w:cs="黑体"/>
          <w:color w:val="auto"/>
          <w:highlight w:val="none"/>
        </w:rPr>
      </w:pPr>
      <w:bookmarkStart w:id="1" w:name="fm"/>
      <w:r>
        <w:rPr>
          <w:rFonts w:hint="eastAsia" w:hAnsi="黑体" w:cs="黑体"/>
          <w:color w:val="auto"/>
          <w:w w:val="100"/>
          <w:highlight w:val="none"/>
        </w:rPr>
        <mc:AlternateContent>
          <mc:Choice Requires="wps">
            <w:drawing>
              <wp:anchor distT="0" distB="0" distL="114300" distR="114300" simplePos="0" relativeHeight="25166438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5pt;height:18pt;width:90pt;z-index:-25165209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8mKEdoAAAAPAQAADwAAAAAAAAABACAAAAAiAAAAZHJzL2Rvd25yZXYueG1sUEsBAhQAFAAA&#10;AAgAh07iQJe7xUa0AQAAagMAAA4AAAAAAAAAAQAgAAAAKQEAAGRycy9lMm9Eb2MueG1sUEsFBgAA&#10;AAAGAAYAWQEAAE8FAAAAAA==&#10;">
                <v:fill on="t" focussize="0,0"/>
                <v:stroke on="f"/>
                <v:imagedata o:title=""/>
                <o:lock v:ext="edit" aspectratio="f"/>
                <v:textbox>
                  <w:txbxContent>
                    <w:p/>
                  </w:txbxContent>
                </v:textbox>
              </v:rect>
            </w:pict>
          </mc:Fallback>
        </mc:AlternateContent>
      </w:r>
      <w:bookmarkEnd w:id="1"/>
      <w:r>
        <w:rPr>
          <w:rFonts w:hint="eastAsia" w:hAnsi="黑体" w:cs="黑体"/>
          <w:color w:val="auto"/>
          <w:w w:val="100"/>
          <w:highlight w:val="none"/>
        </w:rPr>
        <w:t>辽宁省</w:t>
      </w:r>
      <w:r>
        <w:rPr>
          <w:rFonts w:hint="eastAsia" w:hAnsi="黑体" w:cs="黑体"/>
          <w:color w:val="auto"/>
          <w:w w:val="100"/>
          <w:szCs w:val="22"/>
          <w:highlight w:val="none"/>
        </w:rPr>
        <w:t>市场监督管理局　发布</w:t>
      </w:r>
    </w:p>
    <w:p>
      <w:pPr>
        <w:pStyle w:val="26"/>
        <w:spacing w:line="360" w:lineRule="auto"/>
        <w:rPr>
          <w:color w:val="auto"/>
          <w:highlight w:val="none"/>
        </w:rPr>
        <w:sectPr>
          <w:headerReference r:id="rId5" w:type="even"/>
          <w:footerReference r:id="rId6" w:type="even"/>
          <w:pgSz w:w="11906" w:h="16838"/>
          <w:pgMar w:top="567" w:right="1134" w:bottom="1134" w:left="1417" w:header="0" w:footer="0"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hAnsi="黑体" w:cs="黑体"/>
          <w:color w:val="auto"/>
          <w:highlight w:val="none"/>
        </w:rPr>
        <mc:AlternateContent>
          <mc:Choice Requires="wps">
            <w:drawing>
              <wp:anchor distT="0" distB="0" distL="114300" distR="114300" simplePos="0" relativeHeight="251665408" behindDoc="1" locked="0" layoutInCell="1" allowOverlap="1">
                <wp:simplePos x="0" y="0"/>
                <wp:positionH relativeFrom="page">
                  <wp:posOffset>2771775</wp:posOffset>
                </wp:positionH>
                <wp:positionV relativeFrom="page">
                  <wp:posOffset>4954270</wp:posOffset>
                </wp:positionV>
                <wp:extent cx="2271395" cy="424815"/>
                <wp:effectExtent l="0" t="0" r="14605" b="1905"/>
                <wp:wrapNone/>
                <wp:docPr id="8" name="矩形 8"/>
                <wp:cNvGraphicFramePr/>
                <a:graphic xmlns:a="http://schemas.openxmlformats.org/drawingml/2006/main">
                  <a:graphicData uri="http://schemas.microsoft.com/office/word/2010/wordprocessingShape">
                    <wps:wsp>
                      <wps:cNvSpPr/>
                      <wps:spPr>
                        <a:xfrm>
                          <a:off x="0" y="0"/>
                          <a:ext cx="2271395" cy="424815"/>
                        </a:xfrm>
                        <a:prstGeom prst="rect">
                          <a:avLst/>
                        </a:prstGeom>
                        <a:solidFill>
                          <a:srgbClr val="FFFFFF"/>
                        </a:solidFill>
                        <a:ln>
                          <a:noFill/>
                        </a:ln>
                      </wps:spPr>
                      <wps:txbx>
                        <w:txbxContent>
                          <w:p>
                            <w:pPr>
                              <w:rPr>
                                <w:rFonts w:hint="default" w:eastAsia="宋体"/>
                                <w:color w:val="auto"/>
                                <w:sz w:val="28"/>
                                <w:szCs w:val="28"/>
                                <w:lang w:val="en-US" w:eastAsia="zh-CN"/>
                              </w:rPr>
                            </w:pPr>
                            <w:r>
                              <w:rPr>
                                <w:rFonts w:hint="eastAsia"/>
                                <w:color w:val="auto"/>
                                <w:sz w:val="28"/>
                                <w:szCs w:val="28"/>
                                <w:lang w:val="en-US" w:eastAsia="zh-CN"/>
                              </w:rPr>
                              <w:t>（征求意见稿）</w:t>
                            </w:r>
                          </w:p>
                        </w:txbxContent>
                      </wps:txbx>
                      <wps:bodyPr upright="1"/>
                    </wps:wsp>
                  </a:graphicData>
                </a:graphic>
              </wp:anchor>
            </w:drawing>
          </mc:Choice>
          <mc:Fallback>
            <w:pict>
              <v:rect id="_x0000_s1026" o:spid="_x0000_s1026" o:spt="1" style="position:absolute;left:0pt;margin-left:218.25pt;margin-top:390.1pt;height:33.45pt;width:178.85pt;mso-position-horizontal-relative:page;mso-position-vertical-relative:page;z-index:-251651072;mso-width-relative:page;mso-height-relative:page;" fillcolor="#FFFFFF" filled="t" stroked="f" coordsize="21600,21600" o:gfxdata="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kszSTZAAAACwEAAA8AAAAAAAAAAQAgAAAAIgAAAGRycy9kb3ducmV2LnhtbFBLAQIUABQA&#10;AAAIAIdO4kAgQuPXtgEAAGoDAAAOAAAAAAAAAAEAIAAAACgBAABkcnMvZTJvRG9jLnhtbFBLBQYA&#10;AAAABgAGAFkBAABQBQAAAAA=&#10;">
                <v:fill on="t" focussize="0,0"/>
                <v:stroke on="f"/>
                <v:imagedata o:title=""/>
                <o:lock v:ext="edit" aspectratio="f"/>
                <v:textbox>
                  <w:txbxContent>
                    <w:p>
                      <w:pPr>
                        <w:rPr>
                          <w:rFonts w:hint="default" w:eastAsia="宋体"/>
                          <w:color w:val="auto"/>
                          <w:sz w:val="28"/>
                          <w:szCs w:val="28"/>
                          <w:lang w:val="en-US" w:eastAsia="zh-CN"/>
                        </w:rPr>
                      </w:pPr>
                      <w:r>
                        <w:rPr>
                          <w:rFonts w:hint="eastAsia"/>
                          <w:color w:val="auto"/>
                          <w:sz w:val="28"/>
                          <w:szCs w:val="28"/>
                          <w:lang w:val="en-US" w:eastAsia="zh-CN"/>
                        </w:rPr>
                        <w:t>（征求意见稿）</w:t>
                      </w:r>
                    </w:p>
                  </w:txbxContent>
                </v:textbox>
              </v:rect>
            </w:pict>
          </mc:Fallback>
        </mc:AlternateContent>
      </w:r>
      <w:r>
        <w:rPr>
          <w:rFonts w:hint="eastAsia" w:ascii="黑体" w:hAnsi="黑体" w:eastAsia="黑体" w:cs="黑体"/>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2333625</wp:posOffset>
                </wp:positionV>
                <wp:extent cx="6062345" cy="6350"/>
                <wp:effectExtent l="0" t="4445" r="3175" b="12065"/>
                <wp:wrapNone/>
                <wp:docPr id="11" name="直接连接符 11"/>
                <wp:cNvGraphicFramePr/>
                <a:graphic xmlns:a="http://schemas.openxmlformats.org/drawingml/2006/main">
                  <a:graphicData uri="http://schemas.microsoft.com/office/word/2010/wordprocessingShape">
                    <wps:wsp>
                      <wps:cNvCnPr/>
                      <wps:spPr>
                        <a:xfrm flipV="1">
                          <a:off x="0" y="0"/>
                          <a:ext cx="606234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05pt;margin-top:183.75pt;height:0.5pt;width:477.35pt;z-index:251670528;mso-width-relative:page;mso-height-relative:page;" filled="f" stroked="t" coordsize="21600,21600" o:gfxdata="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NvldgAAAAJAQAADwAAAAAAAAABACAAAAAiAAAAZHJzL2Rvd25yZXYueG1s&#10;UEsBAhQAFAAAAAgAh07iQJ3Acu/4AQAA5wMAAA4AAAAAAAAAAQAgAAAAJwEAAGRycy9lMm9Eb2Mu&#10;eG1sUEsFBgAAAAAGAAYAWQEAAJEFAAAAAA==&#10;">
                <v:fill on="f" focussize="0,0"/>
                <v:stroke color="#000000" joinstyle="round"/>
                <v:imagedata o:title=""/>
                <o:lock v:ext="edit" aspectratio="f"/>
              </v:line>
            </w:pict>
          </mc:Fallback>
        </mc:AlternateContent>
      </w:r>
      <w:r>
        <w:rPr>
          <w:rFonts w:hint="eastAsia" w:ascii="黑体" w:hAnsi="黑体" w:eastAsia="黑体" w:cs="黑体"/>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34925</wp:posOffset>
                </wp:positionH>
                <wp:positionV relativeFrom="paragraph">
                  <wp:posOffset>8851900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5pt;margin-top:697pt;height:0pt;width:481.9pt;z-index:251671552;mso-width-relative:page;mso-height-relative:page;" filled="f" stroked="t" coordsize="21600,21600" o:gfxdata="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mbK&#10;ldYAAAALAQAADwAAAAAAAAABACAAAAAiAAAAZHJzL2Rvd25yZXYueG1sUEsBAhQAFAAAAAgAh07i&#10;QCXWq8PrAQAA2AMAAA4AAAAAAAAAAQAgAAAAJQEAAGRycy9lMm9Eb2MueG1sUEsFBgAAAAAGAAYA&#10;WQEAAIIFAAAAAA==&#10;">
                <v:fill on="f" focussize="0,0"/>
                <v:stroke color="#000000" joinstyle="round"/>
                <v:imagedata o:title=""/>
                <o:lock v:ext="edit" aspectratio="f"/>
              </v:line>
            </w:pict>
          </mc:Fallback>
        </mc:AlternateContent>
      </w:r>
    </w:p>
    <w:p>
      <w:pPr>
        <w:spacing w:line="24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目　次</w:t>
      </w:r>
    </w:p>
    <w:sdt>
      <w:sdtPr>
        <w:rPr>
          <w:rFonts w:ascii="宋体" w:hAnsi="宋体" w:eastAsia="宋体" w:cs="Times New Roman"/>
          <w:kern w:val="2"/>
          <w:sz w:val="21"/>
          <w:szCs w:val="24"/>
          <w:highlight w:val="none"/>
          <w:lang w:val="en-US" w:eastAsia="zh-CN" w:bidi="ar-SA"/>
        </w:rPr>
        <w:id w:val="147456961"/>
        <w15:color w:val="DBDBDB"/>
        <w:docPartObj>
          <w:docPartGallery w:val="Table of Contents"/>
          <w:docPartUnique/>
        </w:docPartObj>
      </w:sdtPr>
      <w:sdtEndPr>
        <w:rPr>
          <w:rFonts w:hint="eastAsia" w:ascii="宋体" w:hAnsi="宋体" w:eastAsia="宋体" w:cs="宋体"/>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16"/>
            <w:tabs>
              <w:tab w:val="right" w:leader="dot" w:pos="9355"/>
              <w:tab w:val="clear" w:pos="9242"/>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"1-2"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_Toc12070 </w:instrText>
          </w:r>
          <w:r>
            <w:rPr>
              <w:rFonts w:hint="eastAsia" w:ascii="宋体" w:hAnsi="宋体" w:eastAsia="宋体" w:cs="宋体"/>
              <w:highlight w:val="none"/>
            </w:rPr>
            <w:fldChar w:fldCharType="separate"/>
          </w:r>
          <w:r>
            <w:rPr>
              <w:rFonts w:hint="eastAsia" w:ascii="宋体" w:hAnsi="宋体" w:eastAsia="宋体" w:cs="宋体"/>
              <w:highlight w:val="none"/>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_Toc12070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_Toc6642 </w:instrText>
          </w:r>
          <w:r>
            <w:rPr>
              <w:rFonts w:hint="eastAsia" w:ascii="宋体" w:hAnsi="宋体" w:eastAsia="宋体" w:cs="宋体"/>
              <w:highlight w:val="none"/>
            </w:rPr>
            <w:fldChar w:fldCharType="separate"/>
          </w:r>
          <w:r>
            <w:rPr>
              <w:rFonts w:hint="eastAsia" w:ascii="宋体" w:hAnsi="宋体" w:eastAsia="宋体" w:cs="宋体"/>
              <w:i w:val="0"/>
              <w:szCs w:val="21"/>
            </w:rPr>
            <w:t xml:space="preserve">1 </w:t>
          </w:r>
          <w:r>
            <w:rPr>
              <w:rFonts w:hint="eastAsia" w:ascii="宋体" w:hAnsi="宋体" w:eastAsia="宋体" w:cs="宋体"/>
              <w:highlight w:val="none"/>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_Toc6642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_Toc29330 </w:instrText>
          </w:r>
          <w:r>
            <w:rPr>
              <w:rFonts w:hint="eastAsia" w:ascii="宋体" w:hAnsi="宋体" w:eastAsia="宋体" w:cs="宋体"/>
              <w:highlight w:val="none"/>
            </w:rPr>
            <w:fldChar w:fldCharType="separate"/>
          </w:r>
          <w:r>
            <w:rPr>
              <w:rFonts w:hint="eastAsia" w:ascii="宋体" w:hAnsi="宋体" w:eastAsia="宋体" w:cs="宋体"/>
              <w:i w:val="0"/>
              <w:szCs w:val="21"/>
            </w:rPr>
            <w:t xml:space="preserve">2 </w:t>
          </w:r>
          <w:r>
            <w:rPr>
              <w:rFonts w:hint="eastAsia" w:ascii="宋体" w:hAnsi="宋体" w:eastAsia="宋体" w:cs="宋体"/>
              <w:highlight w:val="none"/>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_Toc29330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_Toc27036 </w:instrText>
          </w:r>
          <w:r>
            <w:rPr>
              <w:rFonts w:hint="eastAsia" w:ascii="宋体" w:hAnsi="宋体" w:eastAsia="宋体" w:cs="宋体"/>
              <w:highlight w:val="none"/>
            </w:rPr>
            <w:fldChar w:fldCharType="separate"/>
          </w:r>
          <w:r>
            <w:rPr>
              <w:rFonts w:hint="eastAsia" w:ascii="宋体" w:hAnsi="宋体" w:eastAsia="宋体" w:cs="宋体"/>
              <w:i w:val="0"/>
              <w:szCs w:val="21"/>
            </w:rPr>
            <w:t xml:space="preserve">3 </w:t>
          </w:r>
          <w:r>
            <w:rPr>
              <w:rFonts w:hint="eastAsia" w:ascii="宋体" w:hAnsi="宋体" w:eastAsia="宋体" w:cs="宋体"/>
              <w:highlight w:val="none"/>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_Toc27036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_Toc24049 </w:instrText>
          </w:r>
          <w:r>
            <w:rPr>
              <w:rFonts w:hint="eastAsia" w:ascii="宋体" w:hAnsi="宋体" w:eastAsia="宋体" w:cs="宋体"/>
              <w:highlight w:val="none"/>
            </w:rPr>
            <w:fldChar w:fldCharType="separate"/>
          </w:r>
          <w:r>
            <w:rPr>
              <w:rFonts w:hint="eastAsia" w:ascii="宋体" w:hAnsi="宋体" w:eastAsia="宋体" w:cs="宋体"/>
              <w:i w:val="0"/>
              <w:kern w:val="0"/>
              <w:szCs w:val="21"/>
              <w:lang w:val="en-US" w:eastAsia="zh-CN" w:bidi="ar-SA"/>
            </w:rPr>
            <w:t xml:space="preserve">4 </w:t>
          </w:r>
          <w:r>
            <w:rPr>
              <w:rFonts w:hint="eastAsia" w:ascii="宋体" w:hAnsi="宋体" w:eastAsia="宋体" w:cs="宋体"/>
              <w:kern w:val="0"/>
              <w:szCs w:val="20"/>
              <w:highlight w:val="none"/>
              <w:lang w:val="en-US" w:eastAsia="zh-CN" w:bidi="ar-SA"/>
            </w:rPr>
            <w:t>数据流通参与方安全要求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_Toc24049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ind w:firstLine="630" w:firstLineChars="300"/>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_Toc8197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bidi="ar-SA"/>
            </w:rPr>
            <w:t xml:space="preserve">4.1 </w:t>
          </w:r>
          <w:r>
            <w:rPr>
              <w:rFonts w:hint="eastAsia" w:ascii="宋体" w:hAnsi="宋体" w:eastAsia="宋体" w:cs="宋体"/>
              <w:kern w:val="0"/>
              <w:szCs w:val="21"/>
              <w:highlight w:val="none"/>
              <w:lang w:val="en-US" w:eastAsia="zh-CN" w:bidi="ar-SA"/>
            </w:rPr>
            <w:t>数据供方安全要求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_Toc8197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ind w:firstLine="630" w:firstLineChars="300"/>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_Toc14912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bidi="ar-SA"/>
            </w:rPr>
            <w:t xml:space="preserve">4.2 </w:t>
          </w:r>
          <w:r>
            <w:rPr>
              <w:rFonts w:hint="eastAsia" w:ascii="宋体" w:hAnsi="宋体" w:eastAsia="宋体" w:cs="宋体"/>
              <w:kern w:val="0"/>
              <w:szCs w:val="21"/>
              <w:highlight w:val="none"/>
              <w:lang w:val="en-US" w:eastAsia="zh-CN" w:bidi="ar-SA"/>
            </w:rPr>
            <w:t>数据需方安全要求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_Toc14912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ind w:firstLine="630" w:firstLineChars="300"/>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_Toc20767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bidi="ar-SA"/>
            </w:rPr>
            <w:t xml:space="preserve">4.3 </w:t>
          </w:r>
          <w:r>
            <w:rPr>
              <w:rFonts w:hint="eastAsia" w:ascii="宋体" w:hAnsi="宋体" w:eastAsia="宋体" w:cs="宋体"/>
              <w:kern w:val="0"/>
              <w:szCs w:val="21"/>
              <w:highlight w:val="none"/>
              <w:lang w:val="en-US" w:eastAsia="zh-CN" w:bidi="ar-SA"/>
            </w:rPr>
            <w:t>数据交易服务机构安全要求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_Toc20767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_Toc1790 </w:instrText>
          </w:r>
          <w:r>
            <w:rPr>
              <w:rFonts w:hint="eastAsia" w:ascii="宋体" w:hAnsi="宋体" w:eastAsia="宋体" w:cs="宋体"/>
              <w:highlight w:val="none"/>
            </w:rPr>
            <w:fldChar w:fldCharType="separate"/>
          </w:r>
          <w:r>
            <w:rPr>
              <w:rFonts w:hint="eastAsia" w:ascii="宋体" w:hAnsi="宋体" w:eastAsia="宋体" w:cs="宋体"/>
              <w:i w:val="0"/>
              <w:kern w:val="0"/>
              <w:szCs w:val="21"/>
              <w:lang w:val="en-US" w:eastAsia="zh-CN" w:bidi="ar-SA"/>
            </w:rPr>
            <w:t xml:space="preserve">5 </w:t>
          </w:r>
          <w:r>
            <w:rPr>
              <w:rFonts w:hint="eastAsia" w:ascii="宋体" w:hAnsi="宋体" w:eastAsia="宋体" w:cs="宋体"/>
              <w:kern w:val="0"/>
              <w:szCs w:val="20"/>
              <w:highlight w:val="none"/>
              <w:lang w:val="en-US" w:eastAsia="zh-CN" w:bidi="ar-SA"/>
            </w:rPr>
            <w:t>数据流通安全技术要求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ind w:firstLine="630" w:firstLineChars="300"/>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_Toc13403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5.1 </w:t>
          </w:r>
          <w:r>
            <w:rPr>
              <w:rFonts w:hint="eastAsia" w:ascii="宋体" w:hAnsi="宋体" w:eastAsia="宋体" w:cs="宋体"/>
              <w:highlight w:val="none"/>
              <w:lang w:val="en-US" w:eastAsia="zh-CN"/>
            </w:rPr>
            <w:t>数据采集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_Toc13403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ind w:firstLine="630" w:firstLineChars="300"/>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_Toc17415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5.2 </w:t>
          </w:r>
          <w:r>
            <w:rPr>
              <w:rFonts w:hint="eastAsia" w:ascii="宋体" w:hAnsi="宋体" w:eastAsia="宋体" w:cs="宋体"/>
              <w:highlight w:val="none"/>
              <w:lang w:val="en-US" w:eastAsia="zh-CN"/>
            </w:rPr>
            <w:t>数据传输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_Toc17415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ind w:firstLine="630" w:firstLineChars="300"/>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_Toc32680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5.3 </w:t>
          </w:r>
          <w:r>
            <w:rPr>
              <w:rFonts w:hint="eastAsia" w:ascii="宋体" w:hAnsi="宋体" w:eastAsia="宋体" w:cs="宋体"/>
              <w:highlight w:val="none"/>
              <w:lang w:val="en-US" w:eastAsia="zh-CN"/>
            </w:rPr>
            <w:t>数据存储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_Toc32680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ind w:firstLine="630" w:firstLineChars="300"/>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_Toc14087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5.4 </w:t>
          </w:r>
          <w:r>
            <w:rPr>
              <w:rFonts w:hint="eastAsia" w:ascii="宋体" w:hAnsi="宋体" w:eastAsia="宋体" w:cs="宋体"/>
              <w:highlight w:val="none"/>
              <w:lang w:val="en-US" w:eastAsia="zh-CN"/>
            </w:rPr>
            <w:t>数据处理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_Toc14087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ind w:firstLine="630" w:firstLineChars="300"/>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_Toc5014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5.5 </w:t>
          </w:r>
          <w:r>
            <w:rPr>
              <w:rFonts w:hint="eastAsia" w:ascii="宋体" w:hAnsi="宋体" w:eastAsia="宋体" w:cs="宋体"/>
              <w:szCs w:val="21"/>
              <w:highlight w:val="none"/>
              <w:lang w:val="en-US" w:eastAsia="zh-CN"/>
            </w:rPr>
            <w:t>数据流通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_Toc5014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8"/>
            <w:tabs>
              <w:tab w:val="right" w:leader="dot" w:pos="9355"/>
              <w:tab w:val="clear" w:pos="9242"/>
            </w:tabs>
            <w:ind w:firstLine="630" w:firstLineChars="300"/>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_Toc29078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5.6 </w:t>
          </w:r>
          <w:r>
            <w:rPr>
              <w:rFonts w:hint="eastAsia" w:ascii="宋体" w:hAnsi="宋体" w:eastAsia="宋体" w:cs="宋体"/>
              <w:highlight w:val="none"/>
              <w:lang w:val="en-US" w:eastAsia="zh-CN"/>
            </w:rPr>
            <w:t>数据销毁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_Toc29078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highlight w:val="none"/>
            </w:rPr>
            <w:fldChar w:fldCharType="end"/>
          </w:r>
        </w:p>
        <w:p>
          <w:pPr>
            <w:pStyle w:val="12"/>
            <w:keepNext w:val="0"/>
            <w:keepLines w:val="0"/>
            <w:pageBreakBefore w:val="0"/>
            <w:widowControl w:val="0"/>
            <w:tabs>
              <w:tab w:val="right" w:leader="dot" w:pos="9355"/>
              <w:tab w:val="clear" w:pos="9241"/>
            </w:tabs>
            <w:kinsoku/>
            <w:wordWrap/>
            <w:overflowPunct/>
            <w:topLinePunct w:val="0"/>
            <w:autoSpaceDE/>
            <w:autoSpaceDN/>
            <w:bidi w:val="0"/>
            <w:adjustRightInd/>
            <w:snapToGrid/>
            <w:spacing w:after="79" w:afterLines="25" w:line="25" w:lineRule="atLeast"/>
            <w:ind w:left="0" w:leftChars="0" w:firstLine="0" w:firstLineChars="0"/>
            <w:textAlignment w:val="auto"/>
            <w:rPr>
              <w:rFonts w:hint="eastAsia" w:ascii="宋体" w:hAnsi="宋体" w:eastAsia="宋体" w:cs="宋体"/>
              <w:color w:val="auto"/>
              <w:highlight w:val="none"/>
            </w:rPr>
            <w:sectPr>
              <w:headerReference r:id="rId7" w:type="default"/>
              <w:footerReference r:id="rId8" w:type="default"/>
              <w:footerReference r:id="rId9" w:type="even"/>
              <w:pgSz w:w="11906" w:h="16838"/>
              <w:pgMar w:top="1417" w:right="1134" w:bottom="1134" w:left="1417" w:header="1418" w:footer="1134" w:gutter="0"/>
              <w:pgBorders>
                <w:top w:val="none" w:sz="0" w:space="0"/>
                <w:left w:val="none" w:sz="0" w:space="0"/>
                <w:bottom w:val="none" w:sz="0" w:space="0"/>
                <w:right w:val="none" w:sz="0" w:space="0"/>
              </w:pgBorders>
              <w:pgNumType w:fmt="upperRoman" w:start="1"/>
              <w:cols w:space="0" w:num="1"/>
              <w:formProt w:val="0"/>
              <w:docGrid w:type="lines" w:linePitch="312" w:charSpace="0"/>
            </w:sectPr>
          </w:pPr>
          <w:r>
            <w:rPr>
              <w:rFonts w:hint="eastAsia" w:ascii="宋体" w:hAnsi="宋体" w:eastAsia="宋体" w:cs="宋体"/>
              <w:highlight w:val="none"/>
            </w:rPr>
            <w:fldChar w:fldCharType="end"/>
          </w:r>
        </w:p>
      </w:sdtContent>
    </w:sdt>
    <w:p>
      <w:pPr>
        <w:pStyle w:val="47"/>
        <w:shd w:val="clear" w:color="FFFFFF"/>
        <w:spacing w:line="360" w:lineRule="auto"/>
        <w:rPr>
          <w:rFonts w:hAnsi="黑体" w:cs="黑体"/>
          <w:color w:val="auto"/>
          <w:highlight w:val="none"/>
        </w:rPr>
      </w:pPr>
      <w:bookmarkStart w:id="2" w:name="_Toc25294"/>
      <w:bookmarkStart w:id="3" w:name="_Toc12070"/>
      <w:bookmarkStart w:id="4" w:name="_Toc25148"/>
      <w:bookmarkStart w:id="5" w:name="_Toc23688"/>
      <w:bookmarkStart w:id="6" w:name="_Toc844"/>
      <w:bookmarkStart w:id="7" w:name="_Toc22413"/>
      <w:bookmarkStart w:id="8" w:name="_Toc12415"/>
      <w:bookmarkStart w:id="9" w:name="_Toc28728"/>
      <w:bookmarkStart w:id="10" w:name="_Toc21164"/>
      <w:bookmarkStart w:id="11" w:name="_Toc25738"/>
      <w:bookmarkStart w:id="12" w:name="_Toc29227"/>
      <w:bookmarkStart w:id="13" w:name="_Toc21536"/>
      <w:bookmarkStart w:id="14" w:name="_Toc13148"/>
      <w:bookmarkStart w:id="15" w:name="_Toc543"/>
      <w:bookmarkStart w:id="16" w:name="_Toc18704"/>
      <w:bookmarkStart w:id="17" w:name="_Toc14160"/>
      <w:bookmarkStart w:id="18" w:name="_Toc7831"/>
      <w:bookmarkStart w:id="19" w:name="_Toc18819"/>
      <w:bookmarkStart w:id="20" w:name="_Toc24066"/>
      <w:bookmarkStart w:id="21" w:name="_Toc12668"/>
      <w:bookmarkStart w:id="22" w:name="_Toc1316"/>
      <w:bookmarkStart w:id="23" w:name="_Toc14285"/>
      <w:bookmarkStart w:id="24" w:name="_Toc25327"/>
      <w:r>
        <w:rPr>
          <w:rFonts w:hint="eastAsia" w:hAnsi="黑体" w:cs="黑体"/>
          <w:color w:val="auto"/>
          <w:highlight w:val="none"/>
        </w:rPr>
        <w:t>前</w:t>
      </w:r>
      <w:bookmarkStart w:id="25" w:name="BKQY"/>
      <w:r>
        <w:rPr>
          <w:rFonts w:hint="eastAsia" w:hAnsi="黑体" w:cs="黑体"/>
          <w:color w:val="auto"/>
          <w:highlight w:val="none"/>
        </w:rPr>
        <w:t>  言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26"/>
        <w:spacing w:line="360" w:lineRule="auto"/>
        <w:rPr>
          <w:rFonts w:hAnsi="宋体"/>
          <w:color w:val="auto"/>
          <w:highlight w:val="none"/>
        </w:rPr>
      </w:pPr>
      <w:r>
        <w:rPr>
          <w:rFonts w:hint="eastAsia" w:hAnsi="宋体"/>
          <w:color w:val="auto"/>
          <w:highlight w:val="none"/>
        </w:rPr>
        <w:t>本文件按照</w:t>
      </w:r>
      <w:r>
        <w:rPr>
          <w:rFonts w:hint="eastAsia" w:ascii="宋体" w:hAnsi="宋体"/>
          <w:color w:val="auto"/>
          <w:highlight w:val="none"/>
        </w:rPr>
        <w:t>GB</w:t>
      </w:r>
      <w:r>
        <w:rPr>
          <w:rFonts w:hint="eastAsia" w:hAnsi="宋体"/>
          <w:color w:val="auto"/>
          <w:highlight w:val="none"/>
        </w:rPr>
        <w:t>/</w:t>
      </w:r>
      <w:r>
        <w:rPr>
          <w:rFonts w:hint="eastAsia" w:ascii="宋体" w:hAnsi="宋体"/>
          <w:color w:val="auto"/>
          <w:highlight w:val="none"/>
        </w:rPr>
        <w:t>T</w:t>
      </w:r>
      <w:r>
        <w:rPr>
          <w:rFonts w:hint="eastAsia" w:hAnsi="宋体"/>
          <w:color w:val="auto"/>
          <w:highlight w:val="none"/>
          <w:lang w:val="en-US" w:eastAsia="zh-CN"/>
        </w:rPr>
        <w:t xml:space="preserve"> </w:t>
      </w:r>
      <w:r>
        <w:rPr>
          <w:rFonts w:hint="eastAsia" w:ascii="宋体" w:hAnsi="宋体" w:eastAsia="宋体" w:cs="宋体"/>
          <w:color w:val="auto"/>
          <w:highlight w:val="none"/>
        </w:rPr>
        <w:t>1</w:t>
      </w:r>
      <w:r>
        <w:rPr>
          <w:rFonts w:hint="eastAsia" w:hAnsi="宋体"/>
          <w:color w:val="auto"/>
          <w:highlight w:val="none"/>
        </w:rPr>
        <w:t>.</w:t>
      </w:r>
      <w:r>
        <w:rPr>
          <w:rFonts w:hint="eastAsia" w:ascii="宋体" w:hAnsi="宋体" w:eastAsia="宋体" w:cs="宋体"/>
          <w:color w:val="auto"/>
          <w:highlight w:val="none"/>
        </w:rPr>
        <w:t>1</w:t>
      </w:r>
      <w:r>
        <w:rPr>
          <w:rFonts w:hint="eastAsia" w:hAnsi="宋体"/>
          <w:color w:val="auto"/>
          <w:highlight w:val="none"/>
          <w:lang w:eastAsia="zh-CN"/>
        </w:rPr>
        <w:t>—</w:t>
      </w:r>
      <w:r>
        <w:rPr>
          <w:rFonts w:hint="eastAsia" w:ascii="宋体" w:hAnsi="宋体" w:eastAsia="宋体" w:cs="宋体"/>
          <w:color w:val="auto"/>
          <w:highlight w:val="none"/>
        </w:rPr>
        <w:t>2020</w:t>
      </w:r>
      <w:r>
        <w:rPr>
          <w:rFonts w:hint="eastAsia" w:hAnsi="宋体"/>
          <w:color w:val="auto"/>
          <w:highlight w:val="none"/>
        </w:rPr>
        <w:t>《标准化工作导则第</w:t>
      </w:r>
      <w:r>
        <w:rPr>
          <w:rFonts w:hint="eastAsia" w:ascii="宋体" w:hAnsi="宋体" w:eastAsia="宋体" w:cs="宋体"/>
          <w:color w:val="auto"/>
          <w:highlight w:val="none"/>
        </w:rPr>
        <w:t>1</w:t>
      </w:r>
      <w:r>
        <w:rPr>
          <w:rFonts w:hint="eastAsia" w:hAnsi="宋体"/>
          <w:color w:val="auto"/>
          <w:highlight w:val="none"/>
        </w:rPr>
        <w:t>部分</w:t>
      </w:r>
      <w:r>
        <w:rPr>
          <w:rFonts w:hint="eastAsia" w:ascii="宋体" w:hAnsi="宋体"/>
          <w:color w:val="auto"/>
          <w:highlight w:val="none"/>
          <w:lang w:eastAsia="zh-CN"/>
        </w:rPr>
        <w:t>：</w:t>
      </w:r>
      <w:r>
        <w:rPr>
          <w:rFonts w:hint="eastAsia" w:hAnsi="宋体"/>
          <w:color w:val="auto"/>
          <w:highlight w:val="none"/>
        </w:rPr>
        <w:t>标准化文件的结构和起草规则》的规</w:t>
      </w:r>
      <w:r>
        <w:rPr>
          <w:rFonts w:hAnsi="宋体"/>
          <w:color w:val="auto"/>
          <w:highlight w:val="none"/>
        </w:rPr>
        <w:t>定</w:t>
      </w:r>
      <w:r>
        <w:rPr>
          <w:rFonts w:hint="eastAsia" w:hAnsi="宋体"/>
          <w:color w:val="auto"/>
          <w:highlight w:val="none"/>
        </w:rPr>
        <w:t>起草。</w:t>
      </w:r>
    </w:p>
    <w:p>
      <w:pPr>
        <w:pStyle w:val="26"/>
        <w:spacing w:line="360" w:lineRule="auto"/>
        <w:rPr>
          <w:rFonts w:hAnsi="宋体"/>
          <w:color w:val="auto"/>
          <w:highlight w:val="none"/>
        </w:rPr>
      </w:pPr>
      <w:r>
        <w:rPr>
          <w:rFonts w:hint="eastAsia" w:hAnsi="宋体"/>
          <w:color w:val="auto"/>
          <w:highlight w:val="none"/>
        </w:rPr>
        <w:t>请注意本文件的某些内容可能涉及专利。本文件的发布机构不承担识别专利的责任。</w:t>
      </w:r>
    </w:p>
    <w:p>
      <w:pPr>
        <w:pStyle w:val="26"/>
        <w:spacing w:line="360" w:lineRule="auto"/>
        <w:rPr>
          <w:rFonts w:hAnsi="宋体"/>
          <w:color w:val="auto"/>
          <w:highlight w:val="none"/>
        </w:rPr>
      </w:pPr>
      <w:r>
        <w:rPr>
          <w:rFonts w:hint="eastAsia" w:hAnsi="宋体"/>
          <w:color w:val="auto"/>
          <w:highlight w:val="none"/>
        </w:rPr>
        <w:t>本文件</w:t>
      </w:r>
      <w:r>
        <w:rPr>
          <w:rFonts w:hAnsi="宋体"/>
          <w:color w:val="auto"/>
          <w:highlight w:val="none"/>
        </w:rPr>
        <w:t>由</w:t>
      </w:r>
      <w:r>
        <w:rPr>
          <w:rFonts w:hint="eastAsia" w:hAnsi="宋体"/>
          <w:color w:val="auto"/>
          <w:highlight w:val="none"/>
          <w:lang w:val="en-US" w:eastAsia="zh-CN"/>
        </w:rPr>
        <w:t>辽宁省工业和信息化厅</w:t>
      </w:r>
      <w:r>
        <w:rPr>
          <w:rFonts w:hAnsi="宋体"/>
          <w:color w:val="auto"/>
          <w:highlight w:val="none"/>
        </w:rPr>
        <w:t>提出</w:t>
      </w:r>
      <w:r>
        <w:rPr>
          <w:rFonts w:hint="eastAsia" w:hAnsi="宋体"/>
          <w:color w:val="auto"/>
          <w:highlight w:val="none"/>
          <w:lang w:val="en-US" w:eastAsia="zh-CN"/>
        </w:rPr>
        <w:t>并归口</w:t>
      </w:r>
      <w:r>
        <w:rPr>
          <w:rFonts w:hAnsi="宋体"/>
          <w:color w:val="auto"/>
          <w:highlight w:val="none"/>
        </w:rPr>
        <w:t>。</w:t>
      </w:r>
    </w:p>
    <w:p>
      <w:pPr>
        <w:pStyle w:val="26"/>
        <w:spacing w:line="360" w:lineRule="auto"/>
        <w:rPr>
          <w:rFonts w:hint="eastAsia" w:hAnsi="宋体" w:eastAsia="宋体"/>
          <w:color w:val="auto"/>
          <w:highlight w:val="none"/>
          <w:lang w:eastAsia="zh-CN"/>
        </w:rPr>
      </w:pPr>
      <w:r>
        <w:rPr>
          <w:rFonts w:hint="eastAsia" w:hAnsi="宋体"/>
          <w:color w:val="auto"/>
          <w:highlight w:val="none"/>
        </w:rPr>
        <w:t>本文件起草单位</w:t>
      </w:r>
      <w:r>
        <w:rPr>
          <w:rFonts w:hint="eastAsia" w:ascii="宋体" w:hAnsi="宋体"/>
          <w:color w:val="auto"/>
          <w:highlight w:val="none"/>
          <w:lang w:eastAsia="zh-CN"/>
        </w:rPr>
        <w:t>：</w:t>
      </w:r>
      <w:r>
        <w:rPr>
          <w:rFonts w:hint="eastAsia" w:hAnsi="宋体"/>
          <w:color w:val="auto"/>
          <w:highlight w:val="none"/>
        </w:rPr>
        <w:t>沈阳华睿博信息技术有限公司、上海数据交易所、北京赛迪时代信息产业股份有限公司、辽宁艾特斯智能交通技术有限公司、东北大学、辽宁省大数据管理中心、国家计算机网络应急技术处理协调中心辽宁分中心等。</w:t>
      </w:r>
    </w:p>
    <w:p>
      <w:pPr>
        <w:pStyle w:val="26"/>
        <w:spacing w:line="360" w:lineRule="auto"/>
        <w:rPr>
          <w:rFonts w:hint="eastAsia" w:eastAsia="宋体"/>
          <w:color w:val="auto"/>
          <w:highlight w:val="none"/>
          <w:lang w:val="en-US" w:eastAsia="zh-CN"/>
        </w:rPr>
      </w:pPr>
      <w:r>
        <w:rPr>
          <w:rFonts w:hint="eastAsia" w:hAnsi="宋体"/>
          <w:color w:val="auto"/>
          <w:highlight w:val="none"/>
        </w:rPr>
        <w:t>本文件主要起草人</w:t>
      </w:r>
      <w:r>
        <w:rPr>
          <w:rFonts w:hint="eastAsia" w:ascii="宋体" w:hAnsi="宋体"/>
          <w:color w:val="auto"/>
          <w:highlight w:val="none"/>
          <w:lang w:eastAsia="zh-CN"/>
        </w:rPr>
        <w:t>：邵华、申翔宇、张翔宇、魏国伟、王宇飞、宋宪辉、谭振华、杨成实、李凯等。</w:t>
      </w:r>
    </w:p>
    <w:p>
      <w:pPr>
        <w:pStyle w:val="26"/>
        <w:spacing w:line="360" w:lineRule="auto"/>
        <w:rPr>
          <w:color w:val="auto"/>
          <w:highlight w:val="none"/>
        </w:rPr>
      </w:pPr>
      <w:r>
        <w:rPr>
          <w:rFonts w:hint="eastAsia"/>
          <w:color w:val="auto"/>
          <w:highlight w:val="none"/>
        </w:rPr>
        <w:t>本文件发布实施后，任何单位和个人如有问题和意见建议，均可以通过来电和来函等方式进行反馈，我们将及时答复并认真处理，根据实际情况依法进行评估及复审。</w:t>
      </w:r>
    </w:p>
    <w:p>
      <w:pPr>
        <w:pStyle w:val="26"/>
        <w:spacing w:line="360" w:lineRule="auto"/>
        <w:rPr>
          <w:rFonts w:hint="default" w:eastAsia="宋体"/>
          <w:color w:val="auto"/>
          <w:szCs w:val="22"/>
          <w:highlight w:val="none"/>
          <w:lang w:val="en-US" w:eastAsia="zh-CN"/>
        </w:rPr>
      </w:pPr>
      <w:r>
        <w:rPr>
          <w:rFonts w:hint="eastAsia"/>
          <w:color w:val="auto"/>
          <w:highlight w:val="none"/>
        </w:rPr>
        <w:t>本文件起草单位通讯地址和联系电话</w:t>
      </w:r>
      <w:r>
        <w:rPr>
          <w:rFonts w:hint="eastAsia" w:ascii="宋体" w:hAnsi="宋体"/>
          <w:color w:val="auto"/>
          <w:highlight w:val="none"/>
          <w:lang w:eastAsia="zh-CN"/>
        </w:rPr>
        <w:t>：</w:t>
      </w:r>
      <w:r>
        <w:rPr>
          <w:rFonts w:hint="eastAsia"/>
          <w:color w:val="auto"/>
          <w:highlight w:val="none"/>
          <w:lang w:val="en-US" w:eastAsia="zh-CN"/>
        </w:rPr>
        <w:t>通讯地址</w:t>
      </w:r>
      <w:r>
        <w:rPr>
          <w:rFonts w:hint="eastAsia" w:ascii="宋体" w:hAnsi="宋体"/>
          <w:color w:val="auto"/>
          <w:highlight w:val="none"/>
          <w:lang w:val="en-US" w:eastAsia="zh-CN"/>
        </w:rPr>
        <w:t>：辽宁省沈阳市和平区青年大街386号华阳国际大厦2396</w:t>
      </w:r>
      <w:r>
        <w:rPr>
          <w:rFonts w:hint="eastAsia"/>
          <w:color w:val="auto"/>
          <w:highlight w:val="none"/>
          <w:lang w:eastAsia="zh-CN"/>
        </w:rPr>
        <w:t>，</w:t>
      </w:r>
      <w:r>
        <w:rPr>
          <w:rFonts w:hint="eastAsia"/>
          <w:color w:val="auto"/>
          <w:highlight w:val="none"/>
          <w:lang w:val="en-US" w:eastAsia="zh-CN"/>
        </w:rPr>
        <w:t>联系电话</w:t>
      </w:r>
      <w:r>
        <w:rPr>
          <w:rFonts w:hint="eastAsia" w:ascii="宋体" w:hAnsi="宋体"/>
          <w:color w:val="auto"/>
          <w:highlight w:val="none"/>
          <w:lang w:val="en-US" w:eastAsia="zh-CN"/>
        </w:rPr>
        <w:t>：</w:t>
      </w:r>
      <w:r>
        <w:rPr>
          <w:rFonts w:hint="eastAsia" w:hAnsi="宋体"/>
          <w:color w:val="auto"/>
          <w:highlight w:val="none"/>
          <w:lang w:val="en-US" w:eastAsia="zh-CN"/>
        </w:rPr>
        <w:t>18698840986</w:t>
      </w:r>
    </w:p>
    <w:p>
      <w:pPr>
        <w:pStyle w:val="26"/>
        <w:spacing w:line="360" w:lineRule="auto"/>
        <w:rPr>
          <w:rFonts w:hint="default" w:eastAsia="宋体"/>
          <w:color w:val="auto"/>
          <w:szCs w:val="22"/>
          <w:highlight w:val="none"/>
          <w:lang w:val="en-US" w:eastAsia="zh-CN"/>
        </w:rPr>
        <w:sectPr>
          <w:footerReference r:id="rId10" w:type="default"/>
          <w:footerReference r:id="rId11" w:type="even"/>
          <w:pgSz w:w="11906" w:h="16838"/>
          <w:pgMar w:top="1417" w:right="1134" w:bottom="1134" w:left="1417" w:header="1418" w:footer="1134" w:gutter="0"/>
          <w:pgBorders>
            <w:top w:val="none" w:sz="0" w:space="0"/>
            <w:left w:val="none" w:sz="0" w:space="0"/>
            <w:bottom w:val="none" w:sz="0" w:space="0"/>
            <w:right w:val="none" w:sz="0" w:space="0"/>
          </w:pgBorders>
          <w:pgNumType w:fmt="upperRoman"/>
          <w:cols w:space="0" w:num="1"/>
          <w:formProt w:val="0"/>
          <w:docGrid w:type="lines" w:linePitch="312" w:charSpace="0"/>
        </w:sectPr>
      </w:pPr>
      <w:r>
        <w:rPr>
          <w:rFonts w:hint="eastAsia"/>
          <w:color w:val="auto"/>
          <w:szCs w:val="22"/>
          <w:highlight w:val="none"/>
        </w:rPr>
        <w:t>本文件归口部门通讯地址和联系电话</w:t>
      </w:r>
      <w:r>
        <w:rPr>
          <w:rFonts w:hint="eastAsia" w:ascii="宋体" w:hAnsi="宋体"/>
          <w:color w:val="auto"/>
          <w:szCs w:val="22"/>
          <w:highlight w:val="none"/>
          <w:lang w:eastAsia="zh-CN"/>
        </w:rPr>
        <w:t>：</w:t>
      </w:r>
      <w:r>
        <w:rPr>
          <w:rFonts w:hint="eastAsia"/>
          <w:color w:val="auto"/>
          <w:szCs w:val="22"/>
          <w:highlight w:val="none"/>
          <w:lang w:val="en-US" w:eastAsia="zh-CN"/>
        </w:rPr>
        <w:t>通讯地址</w:t>
      </w:r>
      <w:r>
        <w:rPr>
          <w:rFonts w:hint="eastAsia" w:ascii="宋体" w:hAnsi="宋体"/>
          <w:color w:val="auto"/>
          <w:szCs w:val="22"/>
          <w:highlight w:val="none"/>
          <w:lang w:val="en-US" w:eastAsia="zh-CN"/>
        </w:rPr>
        <w:t>：辽宁省沈阳市皇姑区北陵大街45</w:t>
      </w:r>
      <w:r>
        <w:rPr>
          <w:rFonts w:hint="eastAsia" w:hAnsi="宋体"/>
          <w:color w:val="auto"/>
          <w:szCs w:val="22"/>
          <w:highlight w:val="none"/>
          <w:lang w:val="en-US" w:eastAsia="zh-CN"/>
        </w:rPr>
        <w:t>—</w:t>
      </w:r>
      <w:r>
        <w:rPr>
          <w:rFonts w:hint="eastAsia" w:ascii="宋体" w:hAnsi="宋体"/>
          <w:color w:val="auto"/>
          <w:szCs w:val="22"/>
          <w:highlight w:val="none"/>
          <w:lang w:val="en-US" w:eastAsia="zh-CN"/>
        </w:rPr>
        <w:t>2号</w:t>
      </w:r>
      <w:r>
        <w:rPr>
          <w:rFonts w:hint="eastAsia"/>
          <w:color w:val="auto"/>
          <w:szCs w:val="22"/>
          <w:highlight w:val="none"/>
          <w:lang w:val="en-US" w:eastAsia="zh-CN"/>
        </w:rPr>
        <w:t>，联系电话</w:t>
      </w:r>
      <w:r>
        <w:rPr>
          <w:rFonts w:hint="eastAsia" w:ascii="宋体" w:hAnsi="宋体"/>
          <w:color w:val="auto"/>
          <w:szCs w:val="22"/>
          <w:highlight w:val="none"/>
          <w:lang w:val="en-US" w:eastAsia="zh-CN"/>
        </w:rPr>
        <w:t>：024</w:t>
      </w:r>
      <w:r>
        <w:rPr>
          <w:rFonts w:hint="eastAsia" w:hAnsi="宋体"/>
          <w:color w:val="auto"/>
          <w:szCs w:val="22"/>
          <w:highlight w:val="none"/>
          <w:lang w:val="en-US" w:eastAsia="zh-CN"/>
        </w:rPr>
        <w:t>—</w:t>
      </w:r>
      <w:r>
        <w:rPr>
          <w:rFonts w:hint="eastAsia" w:ascii="宋体" w:hAnsi="宋体"/>
          <w:color w:val="auto"/>
          <w:szCs w:val="22"/>
          <w:highlight w:val="none"/>
          <w:lang w:val="en-US" w:eastAsia="zh-CN"/>
        </w:rPr>
        <w:t>86893258</w:t>
      </w:r>
    </w:p>
    <w:bookmarkEnd w:id="0"/>
    <w:p>
      <w:pPr>
        <w:spacing w:line="360" w:lineRule="auto"/>
        <w:ind w:left="0" w:leftChars="0" w:firstLine="0" w:firstLineChars="0"/>
        <w:jc w:val="center"/>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工业数据流通  数据安全要求</w:t>
      </w:r>
    </w:p>
    <w:p>
      <w:pPr>
        <w:pStyle w:val="25"/>
        <w:spacing w:before="312" w:after="312" w:line="360" w:lineRule="auto"/>
        <w:outlineLvl w:val="0"/>
        <w:rPr>
          <w:color w:val="auto"/>
          <w:highlight w:val="none"/>
        </w:rPr>
      </w:pPr>
      <w:bookmarkStart w:id="26" w:name="_Toc8423"/>
      <w:bookmarkStart w:id="27" w:name="_Toc288"/>
      <w:bookmarkStart w:id="28" w:name="_Toc29970"/>
      <w:bookmarkStart w:id="29" w:name="_Toc6504"/>
      <w:bookmarkStart w:id="30" w:name="_Toc27243"/>
      <w:bookmarkStart w:id="31" w:name="_Toc28163"/>
      <w:bookmarkStart w:id="32" w:name="_Toc30193"/>
      <w:bookmarkStart w:id="33" w:name="_Toc12742"/>
      <w:bookmarkStart w:id="34" w:name="_Toc30721"/>
      <w:bookmarkStart w:id="35" w:name="_Toc19214"/>
      <w:bookmarkStart w:id="36" w:name="_Toc14720"/>
      <w:bookmarkStart w:id="37" w:name="_Toc17254"/>
      <w:bookmarkStart w:id="38" w:name="_Toc16062"/>
      <w:bookmarkStart w:id="39" w:name="_Toc20955"/>
      <w:bookmarkStart w:id="40" w:name="_Toc8300"/>
      <w:bookmarkStart w:id="41" w:name="_Toc6642"/>
      <w:bookmarkStart w:id="42" w:name="_Toc13533"/>
      <w:bookmarkStart w:id="43" w:name="_Toc27175"/>
      <w:bookmarkStart w:id="44" w:name="_Toc21437"/>
      <w:bookmarkStart w:id="45" w:name="_Toc6218"/>
      <w:bookmarkStart w:id="46" w:name="_Toc25943"/>
      <w:bookmarkStart w:id="47" w:name="_Toc15373"/>
      <w:bookmarkStart w:id="48" w:name="_Toc15340"/>
      <w:bookmarkStart w:id="49" w:name="_Toc13382"/>
      <w:r>
        <w:rPr>
          <w:rFonts w:hint="eastAsia"/>
          <w:color w:val="auto"/>
          <w:highlight w:val="none"/>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26"/>
        <w:spacing w:line="360" w:lineRule="auto"/>
        <w:rPr>
          <w:rFonts w:hint="default" w:eastAsia="宋体"/>
          <w:color w:val="auto"/>
          <w:highlight w:val="none"/>
          <w:lang w:val="en-US" w:eastAsia="zh-CN"/>
        </w:rPr>
      </w:pPr>
      <w:r>
        <w:rPr>
          <w:rFonts w:hint="eastAsia"/>
          <w:color w:val="auto"/>
          <w:highlight w:val="none"/>
        </w:rPr>
        <w:t>本文件规定了</w:t>
      </w:r>
      <w:r>
        <w:rPr>
          <w:rFonts w:hint="eastAsia"/>
          <w:color w:val="auto"/>
          <w:highlight w:val="none"/>
          <w:lang w:val="en-US" w:eastAsia="zh-CN"/>
        </w:rPr>
        <w:t>工业数据采集、传输、存储、处理以及销毁过程中的安全要求。</w:t>
      </w:r>
    </w:p>
    <w:p>
      <w:pPr>
        <w:pStyle w:val="26"/>
        <w:spacing w:line="360" w:lineRule="auto"/>
        <w:rPr>
          <w:color w:val="auto"/>
          <w:szCs w:val="21"/>
          <w:highlight w:val="none"/>
        </w:rPr>
      </w:pPr>
      <w:bookmarkStart w:id="50" w:name="_Toc28726"/>
      <w:bookmarkStart w:id="51" w:name="_Toc17744"/>
      <w:bookmarkStart w:id="52" w:name="_Toc969"/>
      <w:bookmarkStart w:id="53" w:name="_Toc13501"/>
      <w:r>
        <w:rPr>
          <w:rFonts w:hint="eastAsia"/>
          <w:color w:val="auto"/>
          <w:szCs w:val="21"/>
          <w:highlight w:val="none"/>
        </w:rPr>
        <w:t>本</w:t>
      </w:r>
      <w:r>
        <w:rPr>
          <w:rFonts w:hint="eastAsia"/>
          <w:color w:val="auto"/>
          <w:szCs w:val="21"/>
          <w:highlight w:val="none"/>
          <w:lang w:val="en-US" w:eastAsia="zh-CN"/>
        </w:rPr>
        <w:t>文件</w:t>
      </w:r>
      <w:r>
        <w:rPr>
          <w:rFonts w:hint="eastAsia"/>
          <w:color w:val="auto"/>
          <w:szCs w:val="21"/>
          <w:highlight w:val="none"/>
        </w:rPr>
        <w:t>适用于工业企业数据流通安全防护工作指导和落实。</w:t>
      </w:r>
    </w:p>
    <w:p>
      <w:pPr>
        <w:pStyle w:val="25"/>
        <w:spacing w:before="312" w:after="312" w:line="360" w:lineRule="auto"/>
        <w:outlineLvl w:val="0"/>
        <w:rPr>
          <w:color w:val="auto"/>
          <w:highlight w:val="none"/>
        </w:rPr>
      </w:pPr>
      <w:bookmarkStart w:id="54" w:name="_Toc2579"/>
      <w:bookmarkStart w:id="55" w:name="_Toc4021"/>
      <w:bookmarkStart w:id="56" w:name="_Toc27739"/>
      <w:bookmarkStart w:id="57" w:name="_Toc14467"/>
      <w:bookmarkStart w:id="58" w:name="_Toc24507"/>
      <w:bookmarkStart w:id="59" w:name="_Toc2296"/>
      <w:bookmarkStart w:id="60" w:name="_Toc25630"/>
      <w:bookmarkStart w:id="61" w:name="_Toc29330"/>
      <w:bookmarkStart w:id="62" w:name="_Toc21641"/>
      <w:bookmarkStart w:id="63" w:name="_Toc27024"/>
      <w:bookmarkStart w:id="64" w:name="_Toc16452"/>
      <w:bookmarkStart w:id="65" w:name="_Toc6320"/>
      <w:bookmarkStart w:id="66" w:name="_Toc28004"/>
      <w:bookmarkStart w:id="67" w:name="_Toc22511"/>
      <w:bookmarkStart w:id="68" w:name="_Toc31104"/>
      <w:bookmarkStart w:id="69" w:name="_Toc24672"/>
      <w:bookmarkStart w:id="70" w:name="_Toc27605"/>
      <w:bookmarkStart w:id="71" w:name="_Toc4633"/>
      <w:bookmarkStart w:id="72" w:name="_Toc14425"/>
      <w:bookmarkStart w:id="73" w:name="_Toc32472"/>
      <w:r>
        <w:rPr>
          <w:rFonts w:hint="eastAsia"/>
          <w:color w:val="auto"/>
          <w:highlight w:val="none"/>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26"/>
        <w:spacing w:line="360" w:lineRule="auto"/>
        <w:rPr>
          <w:rFonts w:hint="eastAsia" w:hAnsi="宋体"/>
          <w:highlight w:val="none"/>
        </w:rPr>
      </w:pPr>
      <w:r>
        <w:rPr>
          <w:rFonts w:hint="eastAsia" w:hAnsi="宋体"/>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6"/>
        <w:spacing w:line="360" w:lineRule="auto"/>
        <w:jc w:val="left"/>
        <w:rPr>
          <w:rFonts w:hint="eastAsia" w:hAnsi="宋体"/>
          <w:highlight w:val="none"/>
          <w:lang w:val="en-US" w:eastAsia="zh-CN"/>
        </w:rPr>
      </w:pPr>
      <w:r>
        <w:rPr>
          <w:rFonts w:hint="eastAsia" w:hAnsi="宋体"/>
          <w:highlight w:val="none"/>
        </w:rPr>
        <w:t>GB/T 25069-2022</w:t>
      </w:r>
      <w:r>
        <w:rPr>
          <w:rFonts w:hint="eastAsia" w:hAnsi="宋体"/>
          <w:highlight w:val="none"/>
          <w:lang w:val="en-US" w:eastAsia="zh-CN"/>
        </w:rPr>
        <w:t xml:space="preserve">  信息安全技术  术语</w:t>
      </w:r>
    </w:p>
    <w:p>
      <w:pPr>
        <w:pStyle w:val="26"/>
        <w:spacing w:line="360" w:lineRule="auto"/>
        <w:jc w:val="left"/>
        <w:rPr>
          <w:rFonts w:hint="eastAsia" w:hAnsi="宋体"/>
          <w:highlight w:val="none"/>
          <w:lang w:val="en-US" w:eastAsia="zh-CN"/>
        </w:rPr>
      </w:pPr>
      <w:r>
        <w:rPr>
          <w:rFonts w:hint="default" w:hAnsi="宋体"/>
          <w:highlight w:val="none"/>
          <w:lang w:val="en-US" w:eastAsia="zh-CN"/>
        </w:rPr>
        <w:t>GB/T 5271.1-2000</w:t>
      </w:r>
      <w:r>
        <w:rPr>
          <w:rFonts w:hint="eastAsia" w:hAnsi="宋体"/>
          <w:highlight w:val="none"/>
          <w:lang w:val="en-US" w:eastAsia="zh-CN"/>
        </w:rPr>
        <w:t xml:space="preserve">  信息技术  词汇  第1部分：基本术语</w:t>
      </w:r>
    </w:p>
    <w:p>
      <w:pPr>
        <w:pStyle w:val="26"/>
        <w:spacing w:line="360" w:lineRule="auto"/>
        <w:jc w:val="left"/>
        <w:rPr>
          <w:rFonts w:hint="default" w:hAnsi="宋体"/>
          <w:highlight w:val="none"/>
          <w:lang w:val="en-US" w:eastAsia="zh-CN"/>
        </w:rPr>
      </w:pPr>
      <w:r>
        <w:rPr>
          <w:rFonts w:hint="default" w:hAnsi="宋体" w:cs="宋体"/>
          <w:color w:val="auto"/>
          <w:kern w:val="2"/>
          <w:szCs w:val="24"/>
          <w:highlight w:val="none"/>
          <w:lang w:val="en-US" w:eastAsia="zh-CN"/>
        </w:rPr>
        <w:t>GB/T 37932-2019</w:t>
      </w:r>
      <w:r>
        <w:rPr>
          <w:rFonts w:hint="eastAsia" w:hAnsi="宋体" w:cs="宋体"/>
          <w:color w:val="auto"/>
          <w:kern w:val="2"/>
          <w:szCs w:val="24"/>
          <w:highlight w:val="none"/>
          <w:lang w:val="en-US" w:eastAsia="zh-CN"/>
        </w:rPr>
        <w:t xml:space="preserve">  </w:t>
      </w:r>
      <w:r>
        <w:rPr>
          <w:rFonts w:hint="eastAsia"/>
          <w:lang w:val="en-US" w:eastAsia="zh-CN"/>
        </w:rPr>
        <w:t>信息安全技术  数据交易服务安全要求</w:t>
      </w:r>
    </w:p>
    <w:p>
      <w:pPr>
        <w:pStyle w:val="25"/>
        <w:spacing w:before="312" w:after="312" w:line="360" w:lineRule="auto"/>
        <w:outlineLvl w:val="0"/>
        <w:rPr>
          <w:color w:val="auto"/>
          <w:highlight w:val="none"/>
        </w:rPr>
      </w:pPr>
      <w:bookmarkStart w:id="74" w:name="_Toc12695"/>
      <w:bookmarkStart w:id="75" w:name="_Toc1396"/>
      <w:bookmarkStart w:id="76" w:name="_Toc27589"/>
      <w:bookmarkStart w:id="77" w:name="_Toc420509244"/>
      <w:bookmarkStart w:id="78" w:name="_Toc24405"/>
      <w:bookmarkStart w:id="79" w:name="_Toc12010"/>
      <w:bookmarkStart w:id="80" w:name="_Toc27649"/>
      <w:bookmarkStart w:id="81" w:name="_Toc19892"/>
      <w:bookmarkStart w:id="82" w:name="_Toc9739"/>
      <w:bookmarkStart w:id="83" w:name="_Toc24065"/>
      <w:bookmarkStart w:id="84" w:name="_Toc27036"/>
      <w:bookmarkStart w:id="85" w:name="_Toc26503"/>
      <w:bookmarkStart w:id="86" w:name="_Toc25092"/>
      <w:bookmarkStart w:id="87" w:name="_Toc8705"/>
      <w:bookmarkStart w:id="88" w:name="_Toc22750"/>
      <w:bookmarkStart w:id="89" w:name="_Toc5061"/>
      <w:bookmarkStart w:id="90" w:name="_Toc20583"/>
      <w:bookmarkStart w:id="91" w:name="_Toc32483"/>
      <w:bookmarkStart w:id="92" w:name="_Toc420509188"/>
      <w:bookmarkStart w:id="93" w:name="_Toc27651"/>
      <w:bookmarkStart w:id="94" w:name="_Toc4486"/>
      <w:bookmarkStart w:id="95" w:name="_Toc5294"/>
      <w:bookmarkStart w:id="96" w:name="_Toc21370"/>
      <w:bookmarkStart w:id="97" w:name="_Toc30537"/>
      <w:bookmarkStart w:id="98" w:name="_Toc9691"/>
      <w:bookmarkStart w:id="99" w:name="_Toc30966"/>
      <w:r>
        <w:rPr>
          <w:rFonts w:hint="eastAsia"/>
          <w:color w:val="auto"/>
          <w:highlight w:val="none"/>
        </w:rPr>
        <w:t>术语和定义</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26"/>
        <w:spacing w:line="360" w:lineRule="auto"/>
        <w:rPr>
          <w:rFonts w:hint="eastAsia" w:ascii="宋体" w:hAnsi="宋体" w:eastAsia="宋体" w:cs="宋体"/>
          <w:color w:val="auto"/>
          <w:kern w:val="2"/>
          <w:sz w:val="21"/>
          <w:szCs w:val="24"/>
          <w:highlight w:val="none"/>
          <w:lang w:val="en-US" w:eastAsia="zh-CN" w:bidi="ar-SA"/>
        </w:rPr>
      </w:pPr>
      <w:r>
        <w:rPr>
          <w:rFonts w:hint="eastAsia" w:hAnsi="宋体" w:cs="宋体"/>
          <w:color w:val="auto"/>
          <w:kern w:val="2"/>
          <w:sz w:val="21"/>
          <w:szCs w:val="24"/>
          <w:highlight w:val="none"/>
          <w:lang w:val="en-US" w:eastAsia="zh-CN" w:bidi="ar-SA"/>
        </w:rPr>
        <w:t>GB/T 25069界定的以及下列</w:t>
      </w:r>
      <w:r>
        <w:rPr>
          <w:rFonts w:hint="eastAsia" w:ascii="宋体" w:hAnsi="宋体" w:eastAsia="宋体" w:cs="宋体"/>
          <w:color w:val="auto"/>
          <w:kern w:val="2"/>
          <w:sz w:val="21"/>
          <w:szCs w:val="24"/>
          <w:highlight w:val="none"/>
          <w:lang w:val="en-US" w:eastAsia="zh-CN" w:bidi="ar-SA"/>
        </w:rPr>
        <w:t>术语和定义适用于本文件。</w:t>
      </w:r>
    </w:p>
    <w:p>
      <w:pPr>
        <w:pStyle w:val="71"/>
        <w:bidi w:val="0"/>
        <w:rPr>
          <w:rFonts w:hint="eastAsia" w:ascii="黑体" w:hAnsi="黑体" w:eastAsia="黑体" w:cs="黑体"/>
          <w:color w:val="auto"/>
          <w:kern w:val="2"/>
          <w:sz w:val="21"/>
          <w:szCs w:val="24"/>
          <w:highlight w:val="none"/>
          <w:lang w:val="en-US" w:eastAsia="zh-CN" w:bidi="ar-SA"/>
        </w:rPr>
      </w:pPr>
    </w:p>
    <w:p>
      <w:pPr>
        <w:pStyle w:val="26"/>
        <w:spacing w:line="360" w:lineRule="auto"/>
        <w:rPr>
          <w:rFonts w:hint="eastAsia"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数据  data</w:t>
      </w:r>
    </w:p>
    <w:p>
      <w:pPr>
        <w:pStyle w:val="26"/>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信息的可再解释的形式化表示，以适用于通信、解释或处理。</w:t>
      </w:r>
    </w:p>
    <w:p>
      <w:pPr>
        <w:pStyle w:val="26"/>
        <w:spacing w:line="360" w:lineRule="auto"/>
        <w:rPr>
          <w:rFonts w:hint="eastAsia" w:ascii="宋体" w:hAnsi="宋体" w:eastAsia="宋体" w:cs="宋体"/>
          <w:color w:val="auto"/>
          <w:kern w:val="2"/>
          <w:sz w:val="21"/>
          <w:szCs w:val="24"/>
          <w:highlight w:val="none"/>
          <w:lang w:val="en-US" w:eastAsia="zh-CN" w:bidi="ar-SA"/>
        </w:rPr>
      </w:pPr>
      <w:r>
        <w:rPr>
          <w:rFonts w:hint="eastAsia" w:hAnsi="宋体" w:cs="宋体"/>
          <w:color w:val="auto"/>
          <w:kern w:val="2"/>
          <w:sz w:val="21"/>
          <w:szCs w:val="24"/>
          <w:highlight w:val="none"/>
          <w:lang w:val="en-US" w:eastAsia="zh-CN" w:bidi="ar-SA"/>
        </w:rPr>
        <w:t>[来源</w:t>
      </w:r>
      <w:r>
        <w:rPr>
          <w:rFonts w:hint="eastAsia" w:ascii="宋体" w:hAnsi="宋体" w:cs="宋体"/>
          <w:color w:val="auto"/>
          <w:kern w:val="2"/>
          <w:sz w:val="21"/>
          <w:szCs w:val="24"/>
          <w:highlight w:val="none"/>
          <w:lang w:val="en-US" w:eastAsia="zh-CN" w:bidi="ar-SA"/>
        </w:rPr>
        <w:t>：GB</w:t>
      </w:r>
      <w:r>
        <w:rPr>
          <w:rFonts w:hint="eastAsia" w:hAnsi="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T</w:t>
      </w:r>
      <w:r>
        <w:rPr>
          <w:rFonts w:hint="eastAsia" w:hAnsi="宋体" w:cs="宋体"/>
          <w:color w:val="auto"/>
          <w:kern w:val="2"/>
          <w:sz w:val="21"/>
          <w:szCs w:val="24"/>
          <w:highlight w:val="none"/>
          <w:lang w:val="en-US" w:eastAsia="zh-CN" w:bidi="ar-SA"/>
        </w:rPr>
        <w:t xml:space="preserve"> </w:t>
      </w:r>
      <w:r>
        <w:rPr>
          <w:rFonts w:hint="eastAsia" w:ascii="宋体" w:hAnsi="宋体" w:eastAsia="宋体" w:cs="宋体"/>
          <w:color w:val="auto"/>
          <w:kern w:val="2"/>
          <w:sz w:val="21"/>
          <w:szCs w:val="24"/>
          <w:highlight w:val="none"/>
          <w:lang w:val="en-US" w:eastAsia="zh-CN" w:bidi="ar-SA"/>
        </w:rPr>
        <w:t>5271</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1</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2000</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01</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01</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02</w:t>
      </w:r>
      <w:r>
        <w:rPr>
          <w:rFonts w:hint="eastAsia" w:hAnsi="宋体" w:cs="宋体"/>
          <w:color w:val="auto"/>
          <w:kern w:val="2"/>
          <w:sz w:val="21"/>
          <w:szCs w:val="24"/>
          <w:highlight w:val="none"/>
          <w:lang w:val="en-US" w:eastAsia="zh-CN" w:bidi="ar-SA"/>
        </w:rPr>
        <w:t>]</w:t>
      </w:r>
    </w:p>
    <w:p>
      <w:pPr>
        <w:pStyle w:val="71"/>
        <w:bidi w:val="0"/>
        <w:rPr>
          <w:rFonts w:hint="eastAsia"/>
          <w:highlight w:val="none"/>
        </w:rPr>
      </w:pPr>
      <w:bookmarkStart w:id="100" w:name="_Toc8924"/>
      <w:bookmarkEnd w:id="100"/>
      <w:bookmarkStart w:id="101" w:name="_Toc30294"/>
      <w:bookmarkEnd w:id="101"/>
      <w:bookmarkStart w:id="102" w:name="_Toc4860"/>
      <w:bookmarkEnd w:id="102"/>
      <w:bookmarkStart w:id="103" w:name="_Toc1973"/>
      <w:bookmarkEnd w:id="103"/>
      <w:bookmarkStart w:id="104" w:name="_Toc17658"/>
      <w:bookmarkEnd w:id="104"/>
      <w:bookmarkStart w:id="105" w:name="_Toc25986"/>
      <w:bookmarkEnd w:id="105"/>
      <w:bookmarkStart w:id="106" w:name="_Toc20484"/>
      <w:bookmarkEnd w:id="106"/>
      <w:bookmarkStart w:id="107" w:name="_Toc7671"/>
      <w:bookmarkEnd w:id="107"/>
    </w:p>
    <w:p>
      <w:pPr>
        <w:pStyle w:val="26"/>
        <w:spacing w:line="360" w:lineRule="auto"/>
        <w:rPr>
          <w:rFonts w:hint="eastAsia"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工业数据  industrial data</w:t>
      </w:r>
    </w:p>
    <w:p>
      <w:pPr>
        <w:pStyle w:val="26"/>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工业领域产生和收集的数据，包括研发设计、生产制造、经营管理、运行维护、平台运营等过程中收集和产生的任何以电子或者其他方式记录的数据。</w:t>
      </w:r>
    </w:p>
    <w:p>
      <w:pPr>
        <w:pStyle w:val="71"/>
        <w:spacing w:before="156" w:after="156" w:line="360" w:lineRule="auto"/>
        <w:rPr>
          <w:rFonts w:hint="eastAsia"/>
          <w:lang w:val="en-US" w:eastAsia="zh-CN"/>
        </w:rPr>
      </w:pPr>
    </w:p>
    <w:p>
      <w:pPr>
        <w:pStyle w:val="26"/>
        <w:spacing w:line="360" w:lineRule="auto"/>
        <w:rPr>
          <w:rFonts w:hint="eastAsia" w:hAnsi="宋体"/>
          <w:lang w:val="en-US" w:eastAsia="zh-CN"/>
        </w:rPr>
      </w:pPr>
      <w:r>
        <w:rPr>
          <w:rFonts w:hint="eastAsia" w:ascii="黑体" w:hAnsi="黑体" w:eastAsia="黑体" w:cs="黑体"/>
          <w:lang w:val="en-US" w:eastAsia="zh-CN"/>
        </w:rPr>
        <w:t>数据供方</w:t>
      </w:r>
      <w:r>
        <w:rPr>
          <w:rFonts w:hint="eastAsia" w:ascii="黑体" w:hAnsi="黑体" w:eastAsia="黑体" w:cs="黑体"/>
        </w:rPr>
        <w:t>　</w:t>
      </w:r>
      <w:r>
        <w:rPr>
          <w:rFonts w:hint="eastAsia" w:ascii="黑体" w:hAnsi="黑体" w:eastAsia="黑体" w:cs="黑体"/>
          <w:lang w:val="en-US" w:eastAsia="zh-CN"/>
        </w:rPr>
        <w:t>data</w:t>
      </w:r>
      <w:r>
        <w:rPr>
          <w:rFonts w:hint="eastAsia" w:ascii="黑体" w:hAnsi="黑体" w:eastAsia="黑体" w:cs="黑体"/>
        </w:rPr>
        <w:t xml:space="preserve"> </w:t>
      </w:r>
      <w:r>
        <w:rPr>
          <w:rFonts w:hint="eastAsia" w:ascii="黑体" w:hAnsi="黑体" w:eastAsia="黑体" w:cs="黑体"/>
          <w:lang w:val="en-US" w:eastAsia="zh-CN"/>
        </w:rPr>
        <w:t>supplier</w:t>
      </w:r>
    </w:p>
    <w:p>
      <w:pPr>
        <w:pStyle w:val="26"/>
        <w:spacing w:line="360" w:lineRule="auto"/>
        <w:rPr>
          <w:rFonts w:hint="default" w:hAnsi="宋体" w:cs="宋体"/>
          <w:color w:val="auto"/>
          <w:kern w:val="2"/>
          <w:szCs w:val="24"/>
          <w:highlight w:val="none"/>
          <w:lang w:val="en-US" w:eastAsia="zh-CN"/>
        </w:rPr>
      </w:pPr>
      <w:r>
        <w:rPr>
          <w:rFonts w:hint="default" w:hAnsi="宋体" w:cs="宋体"/>
          <w:color w:val="auto"/>
          <w:kern w:val="2"/>
          <w:szCs w:val="24"/>
          <w:highlight w:val="none"/>
          <w:lang w:val="en-US" w:eastAsia="zh-CN"/>
        </w:rPr>
        <w:t>数据交易中提供数据的组织机构。</w:t>
      </w:r>
    </w:p>
    <w:p>
      <w:pPr>
        <w:pStyle w:val="26"/>
        <w:spacing w:line="360" w:lineRule="auto"/>
        <w:rPr>
          <w:rFonts w:hint="default" w:hAnsi="宋体" w:cs="宋体"/>
          <w:color w:val="auto"/>
          <w:kern w:val="2"/>
          <w:szCs w:val="24"/>
          <w:highlight w:val="none"/>
          <w:lang w:val="en-US" w:eastAsia="zh-CN"/>
        </w:rPr>
      </w:pPr>
      <w:r>
        <w:rPr>
          <w:rFonts w:hint="default" w:hAnsi="宋体" w:cs="宋体"/>
          <w:color w:val="auto"/>
          <w:kern w:val="2"/>
          <w:szCs w:val="24"/>
          <w:highlight w:val="none"/>
          <w:lang w:val="en-US" w:eastAsia="zh-CN"/>
        </w:rPr>
        <w:t>[来源</w:t>
      </w:r>
      <w:r>
        <w:rPr>
          <w:rFonts w:hint="eastAsia" w:hAnsi="宋体" w:cs="宋体"/>
          <w:color w:val="auto"/>
          <w:kern w:val="2"/>
          <w:szCs w:val="24"/>
          <w:highlight w:val="none"/>
          <w:lang w:val="en-US" w:eastAsia="zh-CN"/>
        </w:rPr>
        <w:t>：</w:t>
      </w:r>
      <w:r>
        <w:rPr>
          <w:rFonts w:hint="default" w:hAnsi="宋体" w:cs="宋体"/>
          <w:color w:val="auto"/>
          <w:kern w:val="2"/>
          <w:szCs w:val="24"/>
          <w:highlight w:val="none"/>
          <w:lang w:val="en-US" w:eastAsia="zh-CN"/>
        </w:rPr>
        <w:t>GB/T 37932-2019，3.2]</w:t>
      </w:r>
    </w:p>
    <w:p>
      <w:pPr>
        <w:pStyle w:val="71"/>
        <w:spacing w:before="156" w:after="156" w:line="360" w:lineRule="auto"/>
        <w:rPr>
          <w:rFonts w:hint="eastAsia"/>
        </w:rPr>
      </w:pPr>
    </w:p>
    <w:p>
      <w:pPr>
        <w:pStyle w:val="26"/>
        <w:spacing w:line="360" w:lineRule="auto"/>
        <w:rPr>
          <w:rFonts w:hint="default" w:hAnsi="宋体" w:eastAsia="黑体"/>
          <w:lang w:val="en-US" w:eastAsia="zh-CN"/>
        </w:rPr>
      </w:pPr>
      <w:r>
        <w:rPr>
          <w:rFonts w:hint="eastAsia" w:ascii="黑体" w:hAnsi="黑体" w:eastAsia="黑体" w:cs="黑体"/>
          <w:lang w:val="en-US" w:eastAsia="zh-CN"/>
        </w:rPr>
        <w:t>数据需方</w:t>
      </w:r>
      <w:r>
        <w:rPr>
          <w:rFonts w:hint="eastAsia" w:ascii="黑体" w:hAnsi="黑体" w:eastAsia="黑体" w:cs="黑体"/>
        </w:rPr>
        <w:t>　</w:t>
      </w:r>
      <w:r>
        <w:rPr>
          <w:rFonts w:hint="eastAsia" w:ascii="黑体" w:hAnsi="黑体" w:eastAsia="黑体" w:cs="黑体"/>
          <w:lang w:val="en-US" w:eastAsia="zh-CN"/>
        </w:rPr>
        <w:t>data acquirer</w:t>
      </w:r>
    </w:p>
    <w:p>
      <w:pPr>
        <w:pStyle w:val="26"/>
        <w:spacing w:line="360" w:lineRule="auto"/>
        <w:rPr>
          <w:rFonts w:hint="default"/>
          <w:lang w:val="en-US" w:eastAsia="zh-CN"/>
        </w:rPr>
      </w:pPr>
      <w:r>
        <w:rPr>
          <w:rFonts w:hint="eastAsia"/>
          <w:lang w:val="en-US" w:eastAsia="zh-CN"/>
        </w:rPr>
        <w:t>数据交易中购买和使用数据的组织机构</w:t>
      </w:r>
      <w:r>
        <w:rPr>
          <w:rFonts w:hint="default"/>
          <w:lang w:val="en-US" w:eastAsia="zh-CN"/>
        </w:rPr>
        <w:t>。</w:t>
      </w:r>
    </w:p>
    <w:p>
      <w:pPr>
        <w:pStyle w:val="26"/>
        <w:spacing w:line="360" w:lineRule="auto"/>
        <w:rPr>
          <w:rFonts w:hint="eastAsia" w:hAnsi="宋体"/>
          <w:lang w:val="en-US" w:eastAsia="zh-CN"/>
        </w:rPr>
      </w:pPr>
      <w:r>
        <w:rPr>
          <w:rFonts w:hint="eastAsia" w:hAnsi="宋体"/>
          <w:lang w:val="en-US" w:eastAsia="zh-CN"/>
        </w:rPr>
        <w:t>[来源：GB/T 37932-2019，3.3]</w:t>
      </w:r>
    </w:p>
    <w:p>
      <w:pPr>
        <w:pStyle w:val="71"/>
        <w:spacing w:before="156" w:after="156" w:line="360" w:lineRule="auto"/>
        <w:rPr>
          <w:rFonts w:hint="eastAsia"/>
          <w:lang w:val="en-US" w:eastAsia="zh-CN"/>
        </w:rPr>
      </w:pPr>
    </w:p>
    <w:p>
      <w:pPr>
        <w:pStyle w:val="26"/>
        <w:spacing w:line="360" w:lineRule="auto"/>
        <w:rPr>
          <w:rFonts w:hint="eastAsia" w:hAnsi="宋体"/>
          <w:lang w:val="en-US" w:eastAsia="zh-CN"/>
        </w:rPr>
      </w:pPr>
      <w:r>
        <w:rPr>
          <w:rFonts w:hint="eastAsia" w:ascii="黑体" w:hAnsi="黑体" w:eastAsia="黑体" w:cs="黑体"/>
          <w:lang w:val="en-US" w:eastAsia="zh-CN"/>
        </w:rPr>
        <w:t>数据交易</w:t>
      </w:r>
      <w:r>
        <w:rPr>
          <w:rFonts w:hint="eastAsia" w:ascii="黑体" w:hAnsi="黑体" w:eastAsia="黑体" w:cs="黑体"/>
        </w:rPr>
        <w:t>　</w:t>
      </w:r>
      <w:r>
        <w:rPr>
          <w:rFonts w:hint="eastAsia" w:ascii="黑体" w:hAnsi="黑体" w:eastAsia="黑体" w:cs="黑体"/>
          <w:lang w:val="en-US" w:eastAsia="zh-CN"/>
        </w:rPr>
        <w:t>data transaction</w:t>
      </w:r>
    </w:p>
    <w:p>
      <w:pPr>
        <w:pStyle w:val="26"/>
        <w:spacing w:line="360" w:lineRule="auto"/>
        <w:rPr>
          <w:rFonts w:hint="default" w:hAnsi="宋体"/>
          <w:lang w:val="en-US" w:eastAsia="zh-CN"/>
        </w:rPr>
      </w:pPr>
      <w:r>
        <w:rPr>
          <w:rFonts w:hint="eastAsia" w:hAnsi="宋体"/>
          <w:lang w:val="en-US" w:eastAsia="zh-CN"/>
        </w:rPr>
        <w:t>数据供方和需方之间以数据商品作为交易对象，进行的以货币或货币等价物交换数据商品的行为。</w:t>
      </w:r>
    </w:p>
    <w:p>
      <w:pPr>
        <w:pStyle w:val="26"/>
        <w:keepNext w:val="0"/>
        <w:keepLines w:val="0"/>
        <w:pageBreakBefore w:val="0"/>
        <w:widowControl/>
        <w:kinsoku/>
        <w:wordWrap/>
        <w:overflowPunct/>
        <w:topLinePunct w:val="0"/>
        <w:autoSpaceDE w:val="0"/>
        <w:autoSpaceDN w:val="0"/>
        <w:bidi w:val="0"/>
        <w:adjustRightInd/>
        <w:snapToGrid/>
        <w:spacing w:line="360" w:lineRule="auto"/>
        <w:ind w:left="420" w:leftChars="200" w:firstLine="0" w:firstLineChars="0"/>
        <w:textAlignment w:val="auto"/>
        <w:rPr>
          <w:rFonts w:hint="default" w:hAnsi="宋体"/>
          <w:sz w:val="18"/>
          <w:szCs w:val="18"/>
          <w:lang w:val="en-US" w:eastAsia="zh-CN"/>
        </w:rPr>
      </w:pPr>
      <w:r>
        <w:rPr>
          <w:rFonts w:hint="eastAsia" w:ascii="黑体" w:hAnsi="黑体" w:eastAsia="黑体" w:cs="黑体"/>
          <w:sz w:val="18"/>
          <w:szCs w:val="18"/>
          <w:lang w:val="en-US" w:eastAsia="zh-CN"/>
        </w:rPr>
        <w:t>注1：</w:t>
      </w:r>
      <w:r>
        <w:rPr>
          <w:rFonts w:hint="eastAsia" w:hAnsi="宋体"/>
          <w:sz w:val="18"/>
          <w:szCs w:val="18"/>
          <w:lang w:val="en-US" w:eastAsia="zh-CN"/>
        </w:rPr>
        <w:t>数据商品包括用于交易的原始数据或加工处理后的数据衍生产品。</w:t>
      </w:r>
    </w:p>
    <w:p>
      <w:pPr>
        <w:pStyle w:val="26"/>
        <w:keepNext w:val="0"/>
        <w:keepLines w:val="0"/>
        <w:pageBreakBefore w:val="0"/>
        <w:widowControl/>
        <w:kinsoku/>
        <w:wordWrap/>
        <w:overflowPunct/>
        <w:topLinePunct w:val="0"/>
        <w:autoSpaceDE w:val="0"/>
        <w:autoSpaceDN w:val="0"/>
        <w:bidi w:val="0"/>
        <w:adjustRightInd/>
        <w:snapToGrid/>
        <w:spacing w:line="360" w:lineRule="auto"/>
        <w:ind w:left="870" w:leftChars="200" w:hanging="450" w:hangingChars="250"/>
        <w:textAlignment w:val="auto"/>
        <w:rPr>
          <w:rFonts w:hint="eastAsia" w:ascii="宋体" w:hAnsi="宋体" w:eastAsia="宋体" w:cs="宋体"/>
          <w:sz w:val="18"/>
          <w:szCs w:val="18"/>
          <w:lang w:val="en-US" w:eastAsia="zh-CN"/>
        </w:rPr>
      </w:pPr>
      <w:r>
        <w:rPr>
          <w:rFonts w:hint="eastAsia" w:ascii="黑体" w:hAnsi="黑体" w:eastAsia="黑体" w:cs="黑体"/>
          <w:sz w:val="18"/>
          <w:szCs w:val="18"/>
          <w:lang w:val="en-US" w:eastAsia="zh-CN"/>
        </w:rPr>
        <w:t>注2：</w:t>
      </w:r>
      <w:r>
        <w:rPr>
          <w:rFonts w:hint="eastAsia" w:ascii="宋体" w:hAnsi="宋体" w:eastAsia="宋体" w:cs="宋体"/>
          <w:sz w:val="18"/>
          <w:szCs w:val="18"/>
          <w:lang w:val="en-US" w:eastAsia="zh-CN"/>
        </w:rPr>
        <w:t>数据交易包括以大数据或其衍生品作为数据商品的数据交易，也包括以传统数据或其衍生品作为数据商品的数据交易。</w:t>
      </w:r>
    </w:p>
    <w:p>
      <w:pPr>
        <w:pStyle w:val="26"/>
        <w:keepNext w:val="0"/>
        <w:keepLines w:val="0"/>
        <w:pageBreakBefore w:val="0"/>
        <w:widowControl/>
        <w:kinsoku/>
        <w:wordWrap/>
        <w:overflowPunct/>
        <w:topLinePunct w:val="0"/>
        <w:autoSpaceDE w:val="0"/>
        <w:autoSpaceDN w:val="0"/>
        <w:bidi w:val="0"/>
        <w:adjustRightInd/>
        <w:snapToGrid/>
        <w:spacing w:line="360" w:lineRule="auto"/>
        <w:ind w:left="840" w:leftChars="200" w:hanging="420" w:hangingChars="200"/>
        <w:textAlignment w:val="auto"/>
        <w:rPr>
          <w:rFonts w:hint="default" w:ascii="宋体" w:hAnsi="宋体" w:eastAsia="宋体" w:cs="宋体"/>
          <w:sz w:val="18"/>
          <w:szCs w:val="18"/>
          <w:lang w:val="en-US" w:eastAsia="zh-CN"/>
        </w:rPr>
      </w:pPr>
      <w:r>
        <w:rPr>
          <w:rFonts w:hint="eastAsia" w:hAnsi="宋体"/>
          <w:lang w:val="en-US" w:eastAsia="zh-CN"/>
        </w:rPr>
        <w:t>[来源：GB/T 37932-2019，3.1]</w:t>
      </w:r>
    </w:p>
    <w:p>
      <w:pPr>
        <w:pStyle w:val="71"/>
        <w:spacing w:before="156" w:after="156" w:line="360" w:lineRule="auto"/>
        <w:rPr>
          <w:rFonts w:hint="eastAsia"/>
          <w:lang w:eastAsia="zh-CN"/>
        </w:rPr>
      </w:pPr>
    </w:p>
    <w:p>
      <w:pPr>
        <w:pStyle w:val="26"/>
        <w:spacing w:line="360" w:lineRule="auto"/>
        <w:rPr>
          <w:rFonts w:hint="default" w:ascii="黑体" w:hAnsi="黑体" w:eastAsia="黑体" w:cs="黑体"/>
          <w:lang w:val="en-US" w:eastAsia="zh-CN"/>
        </w:rPr>
      </w:pPr>
      <w:r>
        <w:rPr>
          <w:rFonts w:hint="eastAsia" w:ascii="黑体" w:hAnsi="黑体" w:eastAsia="黑体" w:cs="黑体"/>
          <w:lang w:val="en-US" w:eastAsia="zh-CN"/>
        </w:rPr>
        <w:t>数据交易服务机构</w:t>
      </w:r>
      <w:r>
        <w:rPr>
          <w:rFonts w:hint="eastAsia" w:ascii="黑体" w:hAnsi="黑体" w:eastAsia="黑体" w:cs="黑体"/>
        </w:rPr>
        <w:t>　</w:t>
      </w:r>
      <w:r>
        <w:rPr>
          <w:rFonts w:hint="eastAsia" w:ascii="黑体" w:hAnsi="黑体" w:eastAsia="黑体" w:cs="黑体"/>
          <w:lang w:val="en-US" w:eastAsia="zh-CN"/>
        </w:rPr>
        <w:t>data transaction service</w:t>
      </w:r>
    </w:p>
    <w:p>
      <w:pPr>
        <w:pStyle w:val="26"/>
        <w:spacing w:line="360" w:lineRule="auto"/>
        <w:rPr>
          <w:rFonts w:hint="default" w:hAnsi="宋体"/>
          <w:lang w:val="en-US" w:eastAsia="zh-CN"/>
        </w:rPr>
      </w:pPr>
      <w:r>
        <w:rPr>
          <w:rFonts w:hint="eastAsia" w:hAnsi="宋体"/>
          <w:lang w:val="en-US" w:eastAsia="zh-CN"/>
        </w:rPr>
        <w:t>为数据供需双方提供数据交易服务的组织机构。</w:t>
      </w:r>
    </w:p>
    <w:p>
      <w:pPr>
        <w:pStyle w:val="26"/>
        <w:autoSpaceDE/>
        <w:autoSpaceDN/>
        <w:spacing w:line="360" w:lineRule="auto"/>
        <w:rPr>
          <w:rFonts w:hint="eastAsia" w:hAnsi="宋体"/>
          <w:lang w:val="en-US" w:eastAsia="zh-CN"/>
        </w:rPr>
      </w:pPr>
      <w:r>
        <w:rPr>
          <w:rFonts w:hint="eastAsia" w:hAnsi="宋体"/>
          <w:lang w:val="en-US" w:eastAsia="zh-CN"/>
        </w:rPr>
        <w:t>[来源：GB/T 37932-2019，3.4]</w:t>
      </w:r>
    </w:p>
    <w:p>
      <w:pPr>
        <w:pStyle w:val="71"/>
        <w:spacing w:line="360" w:lineRule="auto"/>
        <w:rPr>
          <w:rFonts w:hint="eastAsia"/>
          <w:lang w:val="en-US" w:eastAsia="zh-CN"/>
        </w:rPr>
      </w:pPr>
    </w:p>
    <w:p>
      <w:pPr>
        <w:pStyle w:val="26"/>
        <w:spacing w:line="360" w:lineRule="auto"/>
        <w:rPr>
          <w:rFonts w:hint="default" w:ascii="黑体" w:hAnsi="黑体" w:eastAsia="黑体" w:cs="黑体"/>
          <w:lang w:val="en-US" w:eastAsia="zh-CN"/>
        </w:rPr>
      </w:pPr>
      <w:r>
        <w:rPr>
          <w:rFonts w:hint="eastAsia" w:ascii="黑体" w:hAnsi="黑体" w:eastAsia="黑体" w:cs="黑体"/>
          <w:lang w:val="en-US" w:eastAsia="zh-CN"/>
        </w:rPr>
        <w:t>个人信息</w:t>
      </w:r>
      <w:r>
        <w:rPr>
          <w:rFonts w:hint="eastAsia" w:ascii="黑体" w:hAnsi="黑体" w:eastAsia="黑体" w:cs="黑体"/>
        </w:rPr>
        <w:t>　</w:t>
      </w:r>
      <w:r>
        <w:rPr>
          <w:rFonts w:hint="eastAsia" w:ascii="黑体" w:hAnsi="黑体" w:eastAsia="黑体" w:cs="黑体"/>
          <w:lang w:val="en-US" w:eastAsia="zh-CN"/>
        </w:rPr>
        <w:t>personal information</w:t>
      </w:r>
    </w:p>
    <w:p>
      <w:pPr>
        <w:pStyle w:val="26"/>
        <w:spacing w:line="360" w:lineRule="auto"/>
        <w:rPr>
          <w:rFonts w:hint="eastAsia" w:hAnsi="宋体"/>
          <w:lang w:val="en-US" w:eastAsia="zh-CN"/>
        </w:rPr>
      </w:pPr>
      <w:r>
        <w:rPr>
          <w:rFonts w:hint="eastAsia" w:hAnsi="宋体"/>
          <w:lang w:val="en-US" w:eastAsia="zh-CN"/>
        </w:rPr>
        <w:t>以电子或者其他方式记录的能够单独或者与其他信息结合识别特定自然人身份或者反映特定自然人活动情况的各种信息。</w:t>
      </w:r>
    </w:p>
    <w:p>
      <w:pPr>
        <w:pStyle w:val="26"/>
        <w:keepNext w:val="0"/>
        <w:keepLines w:val="0"/>
        <w:pageBreakBefore w:val="0"/>
        <w:widowControl/>
        <w:kinsoku/>
        <w:wordWrap/>
        <w:overflowPunct/>
        <w:topLinePunct w:val="0"/>
        <w:autoSpaceDE w:val="0"/>
        <w:autoSpaceDN w:val="0"/>
        <w:bidi w:val="0"/>
        <w:adjustRightInd/>
        <w:snapToGrid/>
        <w:spacing w:line="360" w:lineRule="auto"/>
        <w:ind w:left="870" w:leftChars="200" w:hanging="450" w:hangingChars="250"/>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注1：</w:t>
      </w:r>
      <w:r>
        <w:rPr>
          <w:rFonts w:hint="eastAsia" w:ascii="宋体" w:hAnsi="宋体" w:eastAsia="宋体" w:cs="宋体"/>
          <w:sz w:val="18"/>
          <w:szCs w:val="18"/>
          <w:lang w:val="en-US" w:eastAsia="zh-CN"/>
        </w:rPr>
        <w:t>个人信息包括姓名、出生日期、身份证件号码、个人生物识别信息、住址、通信通讯联系方式、通信记录和内容账号密码、财产信息、征信信息、行踪轨迹、住宿信息、健康生理信息、交易信息等</w:t>
      </w:r>
      <w:r>
        <w:rPr>
          <w:rFonts w:hint="eastAsia" w:ascii="黑体" w:hAnsi="黑体" w:eastAsia="黑体" w:cs="黑体"/>
          <w:sz w:val="18"/>
          <w:szCs w:val="18"/>
          <w:lang w:val="en-US" w:eastAsia="zh-CN"/>
        </w:rPr>
        <w:t>。</w:t>
      </w:r>
    </w:p>
    <w:p>
      <w:pPr>
        <w:pStyle w:val="26"/>
        <w:keepNext w:val="0"/>
        <w:keepLines w:val="0"/>
        <w:pageBreakBefore w:val="0"/>
        <w:widowControl/>
        <w:kinsoku/>
        <w:wordWrap/>
        <w:overflowPunct/>
        <w:topLinePunct w:val="0"/>
        <w:autoSpaceDE w:val="0"/>
        <w:autoSpaceDN w:val="0"/>
        <w:bidi w:val="0"/>
        <w:adjustRightInd/>
        <w:snapToGrid/>
        <w:spacing w:line="360" w:lineRule="auto"/>
        <w:ind w:left="870" w:leftChars="200" w:hanging="450" w:hangingChars="250"/>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注2：</w:t>
      </w:r>
      <w:r>
        <w:rPr>
          <w:rFonts w:hint="eastAsia" w:ascii="宋体" w:hAnsi="宋体" w:eastAsia="宋体" w:cs="宋体"/>
          <w:sz w:val="18"/>
          <w:szCs w:val="18"/>
          <w:lang w:val="en-US" w:eastAsia="zh-CN"/>
        </w:rPr>
        <w:t>个人信息控制者通过个人信息或其他信息加工处理后形成的信息，例如,用户画像或特征标签,能够单独或者与其他信息结合识别特定自然人身份或者反映特定自然人活动情况的,属于个人信息</w:t>
      </w:r>
      <w:r>
        <w:rPr>
          <w:rFonts w:hint="eastAsia" w:ascii="黑体" w:hAnsi="黑体" w:eastAsia="黑体" w:cs="黑体"/>
          <w:sz w:val="18"/>
          <w:szCs w:val="18"/>
          <w:lang w:val="en-US" w:eastAsia="zh-CN"/>
        </w:rPr>
        <w:t>。</w:t>
      </w:r>
    </w:p>
    <w:p>
      <w:pPr>
        <w:pStyle w:val="26"/>
        <w:spacing w:line="360" w:lineRule="auto"/>
        <w:ind w:left="840" w:leftChars="200" w:hanging="420" w:hangingChars="200"/>
        <w:rPr>
          <w:rFonts w:hint="default" w:hAnsi="宋体"/>
          <w:lang w:val="en-US" w:eastAsia="zh-CN"/>
        </w:rPr>
      </w:pPr>
      <w:r>
        <w:rPr>
          <w:rFonts w:hint="eastAsia" w:hAnsi="宋体"/>
          <w:lang w:val="en-US" w:eastAsia="zh-CN"/>
        </w:rPr>
        <w:t>[来源：GB/T 35273-2020，3.1，有修改]</w:t>
      </w:r>
    </w:p>
    <w:p>
      <w:pPr>
        <w:pStyle w:val="25"/>
        <w:spacing w:line="360" w:lineRule="auto"/>
        <w:outlineLvl w:val="0"/>
        <w:rPr>
          <w:rFonts w:hint="eastAsia" w:ascii="黑体" w:hAnsi="Times New Roman" w:eastAsia="黑体" w:cs="Times New Roman"/>
          <w:color w:val="auto"/>
          <w:kern w:val="0"/>
          <w:sz w:val="21"/>
          <w:szCs w:val="20"/>
          <w:highlight w:val="none"/>
          <w:lang w:val="en-US" w:eastAsia="zh-CN" w:bidi="ar-SA"/>
        </w:rPr>
      </w:pPr>
      <w:bookmarkStart w:id="108" w:name="_Toc24049"/>
      <w:r>
        <w:rPr>
          <w:rFonts w:hint="eastAsia" w:hAnsi="Times New Roman" w:cs="Times New Roman"/>
          <w:color w:val="auto"/>
          <w:kern w:val="0"/>
          <w:sz w:val="21"/>
          <w:szCs w:val="20"/>
          <w:highlight w:val="none"/>
          <w:lang w:val="en-US" w:eastAsia="zh-CN" w:bidi="ar-SA"/>
        </w:rPr>
        <w:t>数据流通参与方安全要求</w:t>
      </w:r>
      <w:bookmarkEnd w:id="108"/>
    </w:p>
    <w:p>
      <w:pPr>
        <w:pStyle w:val="27"/>
        <w:spacing w:line="360" w:lineRule="auto"/>
        <w:outlineLvl w:val="1"/>
        <w:rPr>
          <w:rFonts w:hint="eastAsia" w:cs="Times New Roman"/>
          <w:kern w:val="0"/>
          <w:sz w:val="21"/>
          <w:szCs w:val="21"/>
          <w:lang w:val="en-US" w:eastAsia="zh-CN" w:bidi="ar-SA"/>
        </w:rPr>
      </w:pPr>
      <w:bookmarkStart w:id="109" w:name="_Toc8197"/>
      <w:r>
        <w:rPr>
          <w:rFonts w:hint="eastAsia" w:cs="Times New Roman"/>
          <w:color w:val="auto"/>
          <w:kern w:val="0"/>
          <w:sz w:val="21"/>
          <w:szCs w:val="21"/>
          <w:highlight w:val="none"/>
          <w:lang w:val="en-US" w:eastAsia="zh-CN" w:bidi="ar-SA"/>
        </w:rPr>
        <w:t>数据供方安全要求</w:t>
      </w:r>
      <w:bookmarkEnd w:id="109"/>
    </w:p>
    <w:p>
      <w:pPr>
        <w:spacing w:line="360" w:lineRule="auto"/>
        <w:rPr>
          <w:rFonts w:hint="eastAsia" w:cs="Times New Roman"/>
          <w:kern w:val="0"/>
          <w:sz w:val="21"/>
          <w:szCs w:val="21"/>
          <w:lang w:val="en-US" w:eastAsia="zh-CN" w:bidi="ar-SA"/>
        </w:rPr>
      </w:pPr>
      <w:r>
        <w:rPr>
          <w:rFonts w:hint="eastAsia" w:cs="Times New Roman"/>
          <w:kern w:val="0"/>
          <w:sz w:val="21"/>
          <w:szCs w:val="21"/>
          <w:lang w:val="en-US" w:eastAsia="zh-CN" w:bidi="ar-SA"/>
        </w:rPr>
        <w:t>数据供方应满足如下要求：</w:t>
      </w:r>
    </w:p>
    <w:p>
      <w:pPr>
        <w:pStyle w:val="26"/>
        <w:numPr>
          <w:ilvl w:val="0"/>
          <w:numId w:val="12"/>
        </w:numPr>
        <w:spacing w:line="360" w:lineRule="auto"/>
        <w:ind w:left="840" w:hanging="420" w:firstLineChars="0"/>
        <w:rPr>
          <w:rFonts w:hint="eastAsia"/>
          <w:lang w:eastAsia="zh-CN"/>
        </w:rPr>
      </w:pPr>
      <w:r>
        <w:rPr>
          <w:rFonts w:hint="eastAsia"/>
        </w:rPr>
        <w:t>为一年内无重大数据类违法违规记录的合法组织机构</w:t>
      </w:r>
      <w:r>
        <w:rPr>
          <w:rFonts w:hint="eastAsia"/>
          <w:lang w:eastAsia="zh-CN"/>
        </w:rPr>
        <w:t>；</w:t>
      </w:r>
    </w:p>
    <w:p>
      <w:pPr>
        <w:pStyle w:val="26"/>
        <w:numPr>
          <w:ilvl w:val="0"/>
          <w:numId w:val="12"/>
        </w:numPr>
        <w:spacing w:line="360" w:lineRule="auto"/>
        <w:ind w:left="840" w:hanging="420" w:firstLineChars="0"/>
        <w:rPr>
          <w:rFonts w:hint="eastAsia" w:cs="Times New Roman"/>
          <w:kern w:val="0"/>
          <w:sz w:val="21"/>
          <w:szCs w:val="20"/>
          <w:lang w:val="en-US" w:eastAsia="zh-CN" w:bidi="ar-SA"/>
        </w:rPr>
      </w:pPr>
      <w:r>
        <w:rPr>
          <w:rFonts w:hint="eastAsia" w:cs="Times New Roman"/>
          <w:kern w:val="0"/>
          <w:sz w:val="21"/>
          <w:szCs w:val="20"/>
          <w:lang w:val="en-US" w:eastAsia="zh-CN" w:bidi="ar-SA"/>
        </w:rPr>
        <w:t>完成在数据交易服务机构的注册,并经数据交易服务机构审核通过,才允许参与数据流通业务；</w:t>
      </w:r>
    </w:p>
    <w:p>
      <w:pPr>
        <w:pStyle w:val="26"/>
        <w:numPr>
          <w:ilvl w:val="0"/>
          <w:numId w:val="12"/>
        </w:numPr>
        <w:spacing w:line="360" w:lineRule="auto"/>
        <w:ind w:left="840" w:hanging="420" w:firstLineChars="0"/>
        <w:rPr>
          <w:rFonts w:hint="eastAsia" w:cs="Times New Roman"/>
          <w:kern w:val="0"/>
          <w:sz w:val="21"/>
          <w:szCs w:val="20"/>
          <w:lang w:val="en-US" w:eastAsia="zh-CN" w:bidi="ar-SA"/>
        </w:rPr>
      </w:pPr>
      <w:r>
        <w:rPr>
          <w:rFonts w:hint="eastAsia" w:cs="Times New Roman"/>
          <w:kern w:val="0"/>
          <w:sz w:val="21"/>
          <w:szCs w:val="20"/>
          <w:lang w:val="en-US" w:eastAsia="zh-CN" w:bidi="ar-SA"/>
        </w:rPr>
        <w:t>数据供方应证明其具备向数据需方安全交付数据的能力；</w:t>
      </w:r>
    </w:p>
    <w:p>
      <w:pPr>
        <w:pStyle w:val="26"/>
        <w:numPr>
          <w:ilvl w:val="0"/>
          <w:numId w:val="12"/>
        </w:numPr>
        <w:spacing w:line="360" w:lineRule="auto"/>
        <w:ind w:left="840" w:hanging="420" w:firstLineChars="0"/>
        <w:rPr>
          <w:rFonts w:hint="eastAsia" w:cs="Times New Roman"/>
          <w:kern w:val="0"/>
          <w:sz w:val="21"/>
          <w:szCs w:val="20"/>
          <w:lang w:val="en-US" w:eastAsia="zh-CN" w:bidi="ar-SA"/>
        </w:rPr>
      </w:pPr>
      <w:r>
        <w:rPr>
          <w:rFonts w:hint="eastAsia" w:cs="Times New Roman"/>
          <w:kern w:val="0"/>
          <w:sz w:val="21"/>
          <w:szCs w:val="20"/>
          <w:lang w:val="en-US" w:eastAsia="zh-CN" w:bidi="ar-SA"/>
        </w:rPr>
        <w:t>向数据交易服务机构提供书面的安全承诺，内容包括但不限于：流通数据来源合法性证明材料、交易数据满足法律法规和政策要求、对流通数据质量评估说明、遵守数据流通安全原则、愿意接受数据交易服务机构安全监督、愿意对数据流通后果负责等；</w:t>
      </w:r>
    </w:p>
    <w:p>
      <w:pPr>
        <w:pStyle w:val="26"/>
        <w:numPr>
          <w:ilvl w:val="0"/>
          <w:numId w:val="12"/>
        </w:numPr>
        <w:spacing w:line="360" w:lineRule="auto"/>
        <w:ind w:left="840" w:hanging="420" w:firstLineChars="0"/>
        <w:rPr>
          <w:rFonts w:hint="eastAsia" w:cs="Times New Roman"/>
          <w:color w:val="auto"/>
          <w:kern w:val="0"/>
          <w:sz w:val="21"/>
          <w:szCs w:val="20"/>
          <w:highlight w:val="none"/>
          <w:lang w:val="en-US" w:eastAsia="zh-CN" w:bidi="ar-SA"/>
        </w:rPr>
      </w:pPr>
      <w:r>
        <w:rPr>
          <w:rFonts w:hint="eastAsia" w:cs="Times New Roman"/>
          <w:kern w:val="0"/>
          <w:sz w:val="21"/>
          <w:szCs w:val="20"/>
          <w:lang w:val="en-US" w:eastAsia="zh-CN" w:bidi="ar-SA"/>
        </w:rPr>
        <w:t>遵守数据交易服务机构的安全管理制度和流程。</w:t>
      </w:r>
    </w:p>
    <w:p>
      <w:pPr>
        <w:pStyle w:val="27"/>
        <w:spacing w:line="360" w:lineRule="auto"/>
        <w:outlineLvl w:val="1"/>
        <w:rPr>
          <w:rFonts w:hint="eastAsia" w:cs="Times New Roman"/>
          <w:kern w:val="0"/>
          <w:sz w:val="21"/>
          <w:szCs w:val="21"/>
          <w:lang w:val="en-US" w:eastAsia="zh-CN" w:bidi="ar-SA"/>
        </w:rPr>
      </w:pPr>
      <w:bookmarkStart w:id="110" w:name="_Toc14912"/>
      <w:r>
        <w:rPr>
          <w:rFonts w:hint="eastAsia" w:cs="Times New Roman"/>
          <w:color w:val="auto"/>
          <w:kern w:val="0"/>
          <w:sz w:val="21"/>
          <w:szCs w:val="21"/>
          <w:highlight w:val="none"/>
          <w:lang w:val="en-US" w:eastAsia="zh-CN" w:bidi="ar-SA"/>
        </w:rPr>
        <w:t>数据需方安全要求</w:t>
      </w:r>
      <w:bookmarkEnd w:id="110"/>
    </w:p>
    <w:p>
      <w:pPr>
        <w:spacing w:line="360" w:lineRule="auto"/>
        <w:rPr>
          <w:rFonts w:hint="eastAsia" w:cs="Times New Roman"/>
          <w:kern w:val="0"/>
          <w:sz w:val="21"/>
          <w:szCs w:val="21"/>
          <w:lang w:val="en-US" w:eastAsia="zh-CN" w:bidi="ar-SA"/>
        </w:rPr>
      </w:pPr>
      <w:r>
        <w:rPr>
          <w:rFonts w:hint="eastAsia" w:cs="Times New Roman"/>
          <w:color w:val="auto"/>
          <w:kern w:val="0"/>
          <w:sz w:val="21"/>
          <w:szCs w:val="21"/>
          <w:highlight w:val="none"/>
          <w:lang w:val="en-US" w:eastAsia="zh-CN" w:bidi="ar-SA"/>
        </w:rPr>
        <w:t>数据需方</w:t>
      </w:r>
      <w:r>
        <w:rPr>
          <w:rFonts w:hint="eastAsia" w:cs="Times New Roman"/>
          <w:kern w:val="0"/>
          <w:sz w:val="21"/>
          <w:szCs w:val="21"/>
          <w:lang w:val="en-US" w:eastAsia="zh-CN" w:bidi="ar-SA"/>
        </w:rPr>
        <w:t>应满足如下要求：</w:t>
      </w:r>
    </w:p>
    <w:p>
      <w:pPr>
        <w:pStyle w:val="26"/>
        <w:numPr>
          <w:ilvl w:val="0"/>
          <w:numId w:val="13"/>
        </w:numPr>
        <w:spacing w:line="360" w:lineRule="auto"/>
        <w:ind w:left="840" w:hanging="420" w:firstLineChars="0"/>
        <w:rPr>
          <w:rFonts w:hint="default" w:cs="Times New Roman"/>
          <w:kern w:val="0"/>
          <w:sz w:val="21"/>
          <w:szCs w:val="20"/>
          <w:lang w:val="en-US" w:eastAsia="zh-CN" w:bidi="ar-SA"/>
        </w:rPr>
      </w:pPr>
      <w:r>
        <w:rPr>
          <w:rFonts w:hint="eastAsia" w:cs="Times New Roman"/>
          <w:kern w:val="0"/>
          <w:sz w:val="21"/>
          <w:szCs w:val="20"/>
          <w:lang w:val="en-US" w:eastAsia="zh-CN" w:bidi="ar-SA"/>
        </w:rPr>
        <w:t>为一年内无重大数据类违法违规记录的合法组织机构；</w:t>
      </w:r>
    </w:p>
    <w:p>
      <w:pPr>
        <w:pStyle w:val="26"/>
        <w:numPr>
          <w:ilvl w:val="0"/>
          <w:numId w:val="13"/>
        </w:numPr>
        <w:spacing w:line="360" w:lineRule="auto"/>
        <w:ind w:left="840" w:hanging="420" w:firstLineChars="0"/>
        <w:rPr>
          <w:rFonts w:hint="default" w:cs="Times New Roman"/>
          <w:kern w:val="0"/>
          <w:sz w:val="21"/>
          <w:szCs w:val="20"/>
          <w:lang w:val="en-US" w:eastAsia="zh-CN" w:bidi="ar-SA"/>
        </w:rPr>
      </w:pPr>
      <w:r>
        <w:rPr>
          <w:rFonts w:hint="default" w:cs="Times New Roman"/>
          <w:kern w:val="0"/>
          <w:sz w:val="21"/>
          <w:szCs w:val="20"/>
          <w:lang w:val="en-US" w:eastAsia="zh-CN" w:bidi="ar-SA"/>
        </w:rPr>
        <w:t>完成在</w:t>
      </w:r>
      <w:r>
        <w:rPr>
          <w:rFonts w:hint="eastAsia" w:cs="Times New Roman"/>
          <w:kern w:val="0"/>
          <w:sz w:val="21"/>
          <w:szCs w:val="20"/>
          <w:lang w:val="en-US" w:eastAsia="zh-CN" w:bidi="ar-SA"/>
        </w:rPr>
        <w:t>数据交易服务机构</w:t>
      </w:r>
      <w:r>
        <w:rPr>
          <w:rFonts w:hint="default" w:cs="Times New Roman"/>
          <w:kern w:val="0"/>
          <w:sz w:val="21"/>
          <w:szCs w:val="20"/>
          <w:lang w:val="en-US" w:eastAsia="zh-CN" w:bidi="ar-SA"/>
        </w:rPr>
        <w:t>的注册,并经</w:t>
      </w:r>
      <w:r>
        <w:rPr>
          <w:rFonts w:hint="eastAsia" w:cs="Times New Roman"/>
          <w:kern w:val="0"/>
          <w:sz w:val="21"/>
          <w:szCs w:val="20"/>
          <w:lang w:val="en-US" w:eastAsia="zh-CN" w:bidi="ar-SA"/>
        </w:rPr>
        <w:t>数据交易服务机构</w:t>
      </w:r>
      <w:r>
        <w:rPr>
          <w:rFonts w:hint="default" w:cs="Times New Roman"/>
          <w:kern w:val="0"/>
          <w:sz w:val="21"/>
          <w:szCs w:val="20"/>
          <w:lang w:val="en-US" w:eastAsia="zh-CN" w:bidi="ar-SA"/>
        </w:rPr>
        <w:t>审核通过,才允许参与数据</w:t>
      </w:r>
      <w:r>
        <w:rPr>
          <w:rFonts w:hint="eastAsia" w:cs="Times New Roman"/>
          <w:kern w:val="0"/>
          <w:sz w:val="21"/>
          <w:szCs w:val="20"/>
          <w:lang w:val="en-US" w:eastAsia="zh-CN" w:bidi="ar-SA"/>
        </w:rPr>
        <w:t>流通</w:t>
      </w:r>
      <w:r>
        <w:rPr>
          <w:rFonts w:hint="default" w:cs="Times New Roman"/>
          <w:kern w:val="0"/>
          <w:sz w:val="21"/>
          <w:szCs w:val="20"/>
          <w:lang w:val="en-US" w:eastAsia="zh-CN" w:bidi="ar-SA"/>
        </w:rPr>
        <w:t>业务</w:t>
      </w:r>
      <w:r>
        <w:rPr>
          <w:rFonts w:hint="eastAsia" w:cs="Times New Roman"/>
          <w:kern w:val="0"/>
          <w:sz w:val="21"/>
          <w:szCs w:val="20"/>
          <w:lang w:val="en-US" w:eastAsia="zh-CN" w:bidi="ar-SA"/>
        </w:rPr>
        <w:t>；</w:t>
      </w:r>
    </w:p>
    <w:p>
      <w:pPr>
        <w:pStyle w:val="26"/>
        <w:numPr>
          <w:ilvl w:val="0"/>
          <w:numId w:val="13"/>
        </w:numPr>
        <w:spacing w:line="360" w:lineRule="auto"/>
        <w:ind w:left="840" w:hanging="420" w:firstLineChars="0"/>
        <w:rPr>
          <w:rFonts w:hint="default" w:cs="Times New Roman"/>
          <w:kern w:val="0"/>
          <w:sz w:val="21"/>
          <w:szCs w:val="20"/>
          <w:lang w:val="en-US" w:eastAsia="zh-CN" w:bidi="ar-SA"/>
        </w:rPr>
      </w:pPr>
      <w:r>
        <w:rPr>
          <w:rFonts w:hint="default" w:cs="Times New Roman"/>
          <w:kern w:val="0"/>
          <w:sz w:val="21"/>
          <w:szCs w:val="20"/>
          <w:lang w:val="en-US" w:eastAsia="zh-CN" w:bidi="ar-SA"/>
        </w:rPr>
        <w:t>提供书面的数据</w:t>
      </w:r>
      <w:r>
        <w:rPr>
          <w:rFonts w:hint="eastAsia" w:cs="Times New Roman"/>
          <w:kern w:val="0"/>
          <w:sz w:val="21"/>
          <w:szCs w:val="20"/>
          <w:lang w:val="en-US" w:eastAsia="zh-CN" w:bidi="ar-SA"/>
        </w:rPr>
        <w:t>流通</w:t>
      </w:r>
      <w:r>
        <w:rPr>
          <w:rFonts w:hint="default" w:cs="Times New Roman"/>
          <w:kern w:val="0"/>
          <w:sz w:val="21"/>
          <w:szCs w:val="20"/>
          <w:lang w:val="en-US" w:eastAsia="zh-CN" w:bidi="ar-SA"/>
        </w:rPr>
        <w:t>和使用安全承诺，内容包括但不限于</w:t>
      </w:r>
      <w:r>
        <w:rPr>
          <w:rFonts w:hint="eastAsia" w:cs="Times New Roman"/>
          <w:kern w:val="0"/>
          <w:sz w:val="21"/>
          <w:szCs w:val="20"/>
          <w:lang w:val="en-US" w:eastAsia="zh-CN" w:bidi="ar-SA"/>
        </w:rPr>
        <w:t>：</w:t>
      </w:r>
      <w:r>
        <w:rPr>
          <w:rFonts w:hint="default" w:cs="Times New Roman"/>
          <w:kern w:val="0"/>
          <w:sz w:val="21"/>
          <w:szCs w:val="20"/>
          <w:lang w:val="en-US" w:eastAsia="zh-CN" w:bidi="ar-SA"/>
        </w:rPr>
        <w:t>满足法律法规和政策要求、遵守数据</w:t>
      </w:r>
      <w:r>
        <w:rPr>
          <w:rFonts w:hint="eastAsia" w:cs="Times New Roman"/>
          <w:kern w:val="0"/>
          <w:sz w:val="21"/>
          <w:szCs w:val="20"/>
          <w:lang w:val="en-US" w:eastAsia="zh-CN" w:bidi="ar-SA"/>
        </w:rPr>
        <w:t>流通</w:t>
      </w:r>
      <w:r>
        <w:rPr>
          <w:rFonts w:hint="default" w:cs="Times New Roman"/>
          <w:kern w:val="0"/>
          <w:sz w:val="21"/>
          <w:szCs w:val="20"/>
          <w:lang w:val="en-US" w:eastAsia="zh-CN" w:bidi="ar-SA"/>
        </w:rPr>
        <w:t>安全原则、愿意接受</w:t>
      </w:r>
      <w:r>
        <w:rPr>
          <w:rFonts w:hint="eastAsia" w:cs="Times New Roman"/>
          <w:kern w:val="0"/>
          <w:sz w:val="21"/>
          <w:szCs w:val="20"/>
          <w:lang w:val="en-US" w:eastAsia="zh-CN" w:bidi="ar-SA"/>
        </w:rPr>
        <w:t>数据交易服务机构</w:t>
      </w:r>
      <w:r>
        <w:rPr>
          <w:rFonts w:hint="default" w:cs="Times New Roman"/>
          <w:kern w:val="0"/>
          <w:sz w:val="21"/>
          <w:szCs w:val="20"/>
          <w:lang w:val="en-US" w:eastAsia="zh-CN" w:bidi="ar-SA"/>
        </w:rPr>
        <w:t>安全监督、遵守与数据供方约定的数据安全要求、对所持有数据提供充分的安全保护、未经明确授权不公开或转交数据给第三方等</w:t>
      </w:r>
      <w:r>
        <w:rPr>
          <w:rFonts w:hint="eastAsia" w:cs="Times New Roman"/>
          <w:kern w:val="0"/>
          <w:sz w:val="21"/>
          <w:szCs w:val="20"/>
          <w:lang w:val="en-US" w:eastAsia="zh-CN" w:bidi="ar-SA"/>
        </w:rPr>
        <w:t>；</w:t>
      </w:r>
    </w:p>
    <w:p>
      <w:pPr>
        <w:pStyle w:val="26"/>
        <w:numPr>
          <w:ilvl w:val="0"/>
          <w:numId w:val="13"/>
        </w:numPr>
        <w:spacing w:line="360" w:lineRule="auto"/>
        <w:ind w:left="840" w:hanging="420" w:firstLineChars="0"/>
        <w:rPr>
          <w:rFonts w:hint="default" w:cs="Times New Roman"/>
          <w:kern w:val="0"/>
          <w:sz w:val="21"/>
          <w:szCs w:val="20"/>
          <w:lang w:val="en-US" w:eastAsia="zh-CN" w:bidi="ar-SA"/>
        </w:rPr>
      </w:pPr>
      <w:r>
        <w:rPr>
          <w:rFonts w:hint="default" w:cs="Times New Roman"/>
          <w:kern w:val="0"/>
          <w:sz w:val="21"/>
          <w:szCs w:val="20"/>
          <w:lang w:val="en-US" w:eastAsia="zh-CN" w:bidi="ar-SA"/>
        </w:rPr>
        <w:t>按照供需双方约定的使用目的、范围、方式和期限使用数据,禁止进行个人信息的重新识别</w:t>
      </w:r>
      <w:r>
        <w:rPr>
          <w:rFonts w:hint="eastAsia" w:cs="Times New Roman"/>
          <w:kern w:val="0"/>
          <w:sz w:val="21"/>
          <w:szCs w:val="20"/>
          <w:lang w:val="en-US" w:eastAsia="zh-CN" w:bidi="ar-SA"/>
        </w:rPr>
        <w:t>；</w:t>
      </w:r>
    </w:p>
    <w:p>
      <w:pPr>
        <w:pStyle w:val="26"/>
        <w:numPr>
          <w:ilvl w:val="0"/>
          <w:numId w:val="13"/>
        </w:numPr>
        <w:spacing w:line="360" w:lineRule="auto"/>
        <w:ind w:left="840" w:hanging="420" w:firstLineChars="0"/>
        <w:rPr>
          <w:rFonts w:hint="default" w:cs="Times New Roman"/>
          <w:kern w:val="0"/>
          <w:sz w:val="21"/>
          <w:szCs w:val="20"/>
          <w:lang w:val="en-US" w:eastAsia="zh-CN" w:bidi="ar-SA"/>
        </w:rPr>
      </w:pPr>
      <w:r>
        <w:rPr>
          <w:rFonts w:hint="default" w:cs="Times New Roman"/>
          <w:kern w:val="0"/>
          <w:sz w:val="21"/>
          <w:szCs w:val="20"/>
          <w:lang w:val="en-US" w:eastAsia="zh-CN" w:bidi="ar-SA"/>
        </w:rPr>
        <w:t>在按照数据</w:t>
      </w:r>
      <w:r>
        <w:rPr>
          <w:rFonts w:hint="eastAsia" w:cs="Times New Roman"/>
          <w:kern w:val="0"/>
          <w:sz w:val="21"/>
          <w:szCs w:val="20"/>
          <w:lang w:val="en-US" w:eastAsia="zh-CN" w:bidi="ar-SA"/>
        </w:rPr>
        <w:t>流通</w:t>
      </w:r>
      <w:r>
        <w:rPr>
          <w:rFonts w:hint="default" w:cs="Times New Roman"/>
          <w:kern w:val="0"/>
          <w:sz w:val="21"/>
          <w:szCs w:val="20"/>
          <w:lang w:val="en-US" w:eastAsia="zh-CN" w:bidi="ar-SA"/>
        </w:rPr>
        <w:t>约定方式完成数据使用后，应及时销毁</w:t>
      </w:r>
      <w:r>
        <w:rPr>
          <w:rFonts w:hint="eastAsia" w:cs="Times New Roman"/>
          <w:kern w:val="0"/>
          <w:sz w:val="21"/>
          <w:szCs w:val="20"/>
          <w:lang w:val="en-US" w:eastAsia="zh-CN" w:bidi="ar-SA"/>
        </w:rPr>
        <w:t>流通</w:t>
      </w:r>
      <w:r>
        <w:rPr>
          <w:rFonts w:hint="default" w:cs="Times New Roman"/>
          <w:kern w:val="0"/>
          <w:sz w:val="21"/>
          <w:szCs w:val="20"/>
          <w:lang w:val="en-US" w:eastAsia="zh-CN" w:bidi="ar-SA"/>
        </w:rPr>
        <w:t>数据</w:t>
      </w:r>
      <w:r>
        <w:rPr>
          <w:rFonts w:hint="eastAsia" w:cs="Times New Roman"/>
          <w:kern w:val="0"/>
          <w:sz w:val="21"/>
          <w:szCs w:val="20"/>
          <w:lang w:val="en-US" w:eastAsia="zh-CN" w:bidi="ar-SA"/>
        </w:rPr>
        <w:t>；</w:t>
      </w:r>
    </w:p>
    <w:p>
      <w:pPr>
        <w:pStyle w:val="26"/>
        <w:numPr>
          <w:ilvl w:val="0"/>
          <w:numId w:val="13"/>
        </w:numPr>
        <w:spacing w:line="360" w:lineRule="auto"/>
        <w:ind w:left="840" w:hanging="420" w:firstLineChars="0"/>
        <w:rPr>
          <w:rFonts w:hint="default" w:cs="Times New Roman"/>
          <w:color w:val="auto"/>
          <w:kern w:val="0"/>
          <w:sz w:val="21"/>
          <w:szCs w:val="20"/>
          <w:highlight w:val="none"/>
          <w:lang w:val="en-US" w:eastAsia="zh-CN" w:bidi="ar-SA"/>
        </w:rPr>
      </w:pPr>
      <w:r>
        <w:rPr>
          <w:rFonts w:hint="default" w:cs="Times New Roman"/>
          <w:kern w:val="0"/>
          <w:sz w:val="21"/>
          <w:szCs w:val="20"/>
          <w:lang w:val="en-US" w:eastAsia="zh-CN" w:bidi="ar-SA"/>
        </w:rPr>
        <w:t>遵守</w:t>
      </w:r>
      <w:r>
        <w:rPr>
          <w:rFonts w:hint="eastAsia" w:cs="Times New Roman"/>
          <w:kern w:val="0"/>
          <w:sz w:val="21"/>
          <w:szCs w:val="20"/>
          <w:lang w:val="en-US" w:eastAsia="zh-CN" w:bidi="ar-SA"/>
        </w:rPr>
        <w:t>数据交易服务机构</w:t>
      </w:r>
      <w:r>
        <w:rPr>
          <w:rFonts w:hint="default" w:cs="Times New Roman"/>
          <w:kern w:val="0"/>
          <w:sz w:val="21"/>
          <w:szCs w:val="20"/>
          <w:lang w:val="en-US" w:eastAsia="zh-CN" w:bidi="ar-SA"/>
        </w:rPr>
        <w:t>的安全管理制度和流程。</w:t>
      </w:r>
    </w:p>
    <w:p>
      <w:pPr>
        <w:pStyle w:val="27"/>
        <w:spacing w:line="360" w:lineRule="auto"/>
        <w:outlineLvl w:val="1"/>
        <w:rPr>
          <w:rFonts w:hint="eastAsia" w:cs="Times New Roman"/>
          <w:kern w:val="0"/>
          <w:sz w:val="21"/>
          <w:szCs w:val="21"/>
          <w:lang w:val="en-US" w:eastAsia="zh-CN" w:bidi="ar-SA"/>
        </w:rPr>
      </w:pPr>
      <w:bookmarkStart w:id="111" w:name="_Toc20767"/>
      <w:r>
        <w:rPr>
          <w:rFonts w:hint="eastAsia" w:cs="Times New Roman"/>
          <w:color w:val="auto"/>
          <w:kern w:val="0"/>
          <w:sz w:val="21"/>
          <w:szCs w:val="21"/>
          <w:highlight w:val="none"/>
          <w:lang w:val="en-US" w:eastAsia="zh-CN" w:bidi="ar-SA"/>
        </w:rPr>
        <w:t>数据交易服务机构安全要求</w:t>
      </w:r>
      <w:bookmarkEnd w:id="111"/>
    </w:p>
    <w:p>
      <w:pPr>
        <w:spacing w:line="360" w:lineRule="auto"/>
        <w:rPr>
          <w:rFonts w:hint="eastAsia" w:cs="Times New Roman"/>
          <w:kern w:val="0"/>
          <w:sz w:val="21"/>
          <w:szCs w:val="21"/>
          <w:lang w:val="en-US" w:eastAsia="zh-CN" w:bidi="ar-SA"/>
        </w:rPr>
      </w:pPr>
      <w:r>
        <w:rPr>
          <w:rFonts w:hint="eastAsia" w:cs="Times New Roman"/>
          <w:kern w:val="0"/>
          <w:sz w:val="21"/>
          <w:szCs w:val="21"/>
          <w:lang w:val="en-US" w:eastAsia="zh-CN" w:bidi="ar-SA"/>
        </w:rPr>
        <w:t>数据交易服务机构应满足如下要求：</w:t>
      </w:r>
    </w:p>
    <w:p>
      <w:pPr>
        <w:pStyle w:val="26"/>
        <w:numPr>
          <w:ilvl w:val="0"/>
          <w:numId w:val="14"/>
        </w:numPr>
        <w:spacing w:line="360" w:lineRule="auto"/>
        <w:ind w:left="840" w:hanging="420" w:firstLineChars="0"/>
        <w:rPr>
          <w:rFonts w:hint="default" w:cs="Times New Roman"/>
          <w:kern w:val="0"/>
          <w:sz w:val="21"/>
          <w:szCs w:val="20"/>
          <w:lang w:val="en-US" w:eastAsia="zh-CN" w:bidi="ar-SA"/>
        </w:rPr>
      </w:pPr>
      <w:r>
        <w:rPr>
          <w:rFonts w:hint="default" w:cs="Times New Roman"/>
          <w:kern w:val="0"/>
          <w:sz w:val="21"/>
          <w:szCs w:val="20"/>
          <w:lang w:val="en-US" w:eastAsia="zh-CN" w:bidi="ar-SA"/>
        </w:rPr>
        <w:t>为一年内无重大数据类违法违规记录的合法组织机构</w:t>
      </w:r>
      <w:r>
        <w:rPr>
          <w:rFonts w:hint="eastAsia" w:cs="Times New Roman"/>
          <w:kern w:val="0"/>
          <w:sz w:val="21"/>
          <w:szCs w:val="20"/>
          <w:lang w:val="en-US" w:eastAsia="zh-CN" w:bidi="ar-SA"/>
        </w:rPr>
        <w:t>；</w:t>
      </w:r>
    </w:p>
    <w:p>
      <w:pPr>
        <w:pStyle w:val="26"/>
        <w:numPr>
          <w:ilvl w:val="0"/>
          <w:numId w:val="14"/>
        </w:numPr>
        <w:spacing w:line="360" w:lineRule="auto"/>
        <w:ind w:left="840" w:hanging="420" w:firstLineChars="0"/>
        <w:rPr>
          <w:rFonts w:hint="default" w:cs="Times New Roman"/>
          <w:kern w:val="0"/>
          <w:sz w:val="21"/>
          <w:szCs w:val="20"/>
          <w:lang w:val="en-US" w:eastAsia="zh-CN" w:bidi="ar-SA"/>
        </w:rPr>
      </w:pPr>
      <w:r>
        <w:rPr>
          <w:rFonts w:hint="default" w:cs="Times New Roman"/>
          <w:kern w:val="0"/>
          <w:sz w:val="21"/>
          <w:szCs w:val="20"/>
          <w:lang w:val="en-US" w:eastAsia="zh-CN" w:bidi="ar-SA"/>
        </w:rPr>
        <w:t>完成在</w:t>
      </w:r>
      <w:r>
        <w:rPr>
          <w:rFonts w:hint="eastAsia" w:cs="Times New Roman"/>
          <w:kern w:val="0"/>
          <w:sz w:val="21"/>
          <w:szCs w:val="20"/>
          <w:lang w:val="en-US" w:eastAsia="zh-CN" w:bidi="ar-SA"/>
        </w:rPr>
        <w:t>数据交易服务机构</w:t>
      </w:r>
      <w:r>
        <w:rPr>
          <w:rFonts w:hint="default" w:cs="Times New Roman"/>
          <w:kern w:val="0"/>
          <w:sz w:val="21"/>
          <w:szCs w:val="20"/>
          <w:lang w:val="en-US" w:eastAsia="zh-CN" w:bidi="ar-SA"/>
        </w:rPr>
        <w:t>的注册,并经</w:t>
      </w:r>
      <w:r>
        <w:rPr>
          <w:rFonts w:hint="eastAsia" w:cs="Times New Roman"/>
          <w:kern w:val="0"/>
          <w:sz w:val="21"/>
          <w:szCs w:val="20"/>
          <w:lang w:val="en-US" w:eastAsia="zh-CN" w:bidi="ar-SA"/>
        </w:rPr>
        <w:t>数据交易服务机构</w:t>
      </w:r>
      <w:r>
        <w:rPr>
          <w:rFonts w:hint="default" w:cs="Times New Roman"/>
          <w:kern w:val="0"/>
          <w:sz w:val="21"/>
          <w:szCs w:val="20"/>
          <w:lang w:val="en-US" w:eastAsia="zh-CN" w:bidi="ar-SA"/>
        </w:rPr>
        <w:t>审核通过，才允许参与数据</w:t>
      </w:r>
      <w:r>
        <w:rPr>
          <w:rFonts w:hint="eastAsia" w:cs="Times New Roman"/>
          <w:kern w:val="0"/>
          <w:sz w:val="21"/>
          <w:szCs w:val="20"/>
          <w:lang w:val="en-US" w:eastAsia="zh-CN" w:bidi="ar-SA"/>
        </w:rPr>
        <w:t>流通</w:t>
      </w:r>
      <w:r>
        <w:rPr>
          <w:rFonts w:hint="default" w:cs="Times New Roman"/>
          <w:kern w:val="0"/>
          <w:sz w:val="21"/>
          <w:szCs w:val="20"/>
          <w:lang w:val="en-US" w:eastAsia="zh-CN" w:bidi="ar-SA"/>
        </w:rPr>
        <w:t>业务</w:t>
      </w:r>
      <w:r>
        <w:rPr>
          <w:rFonts w:hint="eastAsia" w:cs="Times New Roman"/>
          <w:kern w:val="0"/>
          <w:sz w:val="21"/>
          <w:szCs w:val="20"/>
          <w:lang w:val="en-US" w:eastAsia="zh-CN" w:bidi="ar-SA"/>
        </w:rPr>
        <w:t>；</w:t>
      </w:r>
    </w:p>
    <w:p>
      <w:pPr>
        <w:pStyle w:val="26"/>
        <w:numPr>
          <w:ilvl w:val="0"/>
          <w:numId w:val="14"/>
        </w:numPr>
        <w:spacing w:line="360" w:lineRule="auto"/>
        <w:ind w:left="840" w:hanging="420" w:firstLineChars="0"/>
        <w:rPr>
          <w:rFonts w:hint="default" w:cs="Times New Roman"/>
          <w:kern w:val="0"/>
          <w:sz w:val="21"/>
          <w:szCs w:val="20"/>
          <w:lang w:val="en-US" w:eastAsia="zh-CN" w:bidi="ar-SA"/>
        </w:rPr>
      </w:pPr>
      <w:r>
        <w:rPr>
          <w:rFonts w:hint="default" w:cs="Times New Roman"/>
          <w:kern w:val="0"/>
          <w:sz w:val="21"/>
          <w:szCs w:val="20"/>
          <w:lang w:val="en-US" w:eastAsia="zh-CN" w:bidi="ar-SA"/>
        </w:rPr>
        <w:t>证明具备对</w:t>
      </w:r>
      <w:r>
        <w:rPr>
          <w:rFonts w:hint="eastAsia" w:cs="Times New Roman"/>
          <w:kern w:val="0"/>
          <w:sz w:val="21"/>
          <w:szCs w:val="20"/>
          <w:lang w:val="en-US" w:eastAsia="zh-CN" w:bidi="ar-SA"/>
        </w:rPr>
        <w:t>流通</w:t>
      </w:r>
      <w:r>
        <w:rPr>
          <w:rFonts w:hint="default" w:cs="Times New Roman"/>
          <w:kern w:val="0"/>
          <w:sz w:val="21"/>
          <w:szCs w:val="20"/>
          <w:lang w:val="en-US" w:eastAsia="zh-CN" w:bidi="ar-SA"/>
        </w:rPr>
        <w:t>数据实施安全保护的能力</w:t>
      </w:r>
      <w:r>
        <w:rPr>
          <w:rFonts w:hint="eastAsia" w:cs="Times New Roman"/>
          <w:kern w:val="0"/>
          <w:sz w:val="21"/>
          <w:szCs w:val="20"/>
          <w:lang w:val="en-US" w:eastAsia="zh-CN" w:bidi="ar-SA"/>
        </w:rPr>
        <w:t>；</w:t>
      </w:r>
    </w:p>
    <w:p>
      <w:pPr>
        <w:pStyle w:val="26"/>
        <w:numPr>
          <w:ilvl w:val="0"/>
          <w:numId w:val="14"/>
        </w:numPr>
        <w:spacing w:line="360" w:lineRule="auto"/>
        <w:ind w:left="840" w:hanging="420" w:firstLineChars="0"/>
        <w:rPr>
          <w:rFonts w:hint="default" w:cs="Times New Roman"/>
          <w:kern w:val="0"/>
          <w:sz w:val="21"/>
          <w:szCs w:val="20"/>
          <w:lang w:val="en-US" w:eastAsia="zh-CN" w:bidi="ar-SA"/>
        </w:rPr>
      </w:pPr>
      <w:r>
        <w:rPr>
          <w:rFonts w:hint="default" w:cs="Times New Roman"/>
          <w:kern w:val="0"/>
          <w:sz w:val="21"/>
          <w:szCs w:val="20"/>
          <w:lang w:val="en-US" w:eastAsia="zh-CN" w:bidi="ar-SA"/>
        </w:rPr>
        <w:t>提供书面的数据</w:t>
      </w:r>
      <w:r>
        <w:rPr>
          <w:rFonts w:hint="eastAsia" w:cs="Times New Roman"/>
          <w:kern w:val="0"/>
          <w:sz w:val="21"/>
          <w:szCs w:val="20"/>
          <w:lang w:val="en-US" w:eastAsia="zh-CN" w:bidi="ar-SA"/>
        </w:rPr>
        <w:t>流通</w:t>
      </w:r>
      <w:r>
        <w:rPr>
          <w:rFonts w:hint="default" w:cs="Times New Roman"/>
          <w:kern w:val="0"/>
          <w:sz w:val="21"/>
          <w:szCs w:val="20"/>
          <w:lang w:val="en-US" w:eastAsia="zh-CN" w:bidi="ar-SA"/>
        </w:rPr>
        <w:t>和使用安全承诺，内容包括但不限于</w:t>
      </w:r>
      <w:r>
        <w:rPr>
          <w:rFonts w:hint="eastAsia" w:cs="Times New Roman"/>
          <w:kern w:val="0"/>
          <w:sz w:val="21"/>
          <w:szCs w:val="20"/>
          <w:lang w:val="en-US" w:eastAsia="zh-CN" w:bidi="ar-SA"/>
        </w:rPr>
        <w:t>：</w:t>
      </w:r>
      <w:r>
        <w:rPr>
          <w:rFonts w:hint="default" w:cs="Times New Roman"/>
          <w:kern w:val="0"/>
          <w:sz w:val="21"/>
          <w:szCs w:val="20"/>
          <w:lang w:val="en-US" w:eastAsia="zh-CN" w:bidi="ar-SA"/>
        </w:rPr>
        <w:t>满足法律法规和政策要求、遵守数据</w:t>
      </w:r>
      <w:r>
        <w:rPr>
          <w:rFonts w:hint="eastAsia" w:cs="Times New Roman"/>
          <w:kern w:val="0"/>
          <w:sz w:val="21"/>
          <w:szCs w:val="20"/>
          <w:lang w:val="en-US" w:eastAsia="zh-CN" w:bidi="ar-SA"/>
        </w:rPr>
        <w:t>流通</w:t>
      </w:r>
      <w:r>
        <w:rPr>
          <w:rFonts w:hint="default" w:cs="Times New Roman"/>
          <w:kern w:val="0"/>
          <w:sz w:val="21"/>
          <w:szCs w:val="20"/>
          <w:lang w:val="en-US" w:eastAsia="zh-CN" w:bidi="ar-SA"/>
        </w:rPr>
        <w:t>安全原则、愿意接受</w:t>
      </w:r>
      <w:r>
        <w:rPr>
          <w:rFonts w:hint="eastAsia" w:cs="Times New Roman"/>
          <w:kern w:val="0"/>
          <w:sz w:val="21"/>
          <w:szCs w:val="20"/>
          <w:lang w:val="en-US" w:eastAsia="zh-CN" w:bidi="ar-SA"/>
        </w:rPr>
        <w:t>数据交易服务机构</w:t>
      </w:r>
      <w:r>
        <w:rPr>
          <w:rFonts w:hint="default" w:cs="Times New Roman"/>
          <w:kern w:val="0"/>
          <w:sz w:val="21"/>
          <w:szCs w:val="20"/>
          <w:lang w:val="en-US" w:eastAsia="zh-CN" w:bidi="ar-SA"/>
        </w:rPr>
        <w:t>安全监督、遵守与数据供方约定的数据安全要求、对所持有数据提供充分的安全保护、未经明确授权不公开或转交数据给第三方等</w:t>
      </w:r>
      <w:r>
        <w:rPr>
          <w:rFonts w:hint="eastAsia" w:cs="Times New Roman"/>
          <w:kern w:val="0"/>
          <w:sz w:val="21"/>
          <w:szCs w:val="20"/>
          <w:lang w:val="en-US" w:eastAsia="zh-CN" w:bidi="ar-SA"/>
        </w:rPr>
        <w:t>；</w:t>
      </w:r>
    </w:p>
    <w:p>
      <w:pPr>
        <w:pStyle w:val="26"/>
        <w:numPr>
          <w:ilvl w:val="0"/>
          <w:numId w:val="14"/>
        </w:numPr>
        <w:spacing w:line="360" w:lineRule="auto"/>
        <w:ind w:left="840" w:hanging="420" w:firstLineChars="0"/>
        <w:rPr>
          <w:rFonts w:hint="default" w:cs="Times New Roman"/>
          <w:kern w:val="0"/>
          <w:sz w:val="21"/>
          <w:szCs w:val="20"/>
          <w:lang w:val="en-US" w:eastAsia="zh-CN" w:bidi="ar-SA"/>
        </w:rPr>
      </w:pPr>
      <w:r>
        <w:rPr>
          <w:rFonts w:hint="default" w:cs="Times New Roman"/>
          <w:kern w:val="0"/>
          <w:sz w:val="21"/>
          <w:szCs w:val="20"/>
          <w:lang w:val="en-US" w:eastAsia="zh-CN" w:bidi="ar-SA"/>
        </w:rPr>
        <w:t>按照供需双方约定的使用目的、范围、方式和期限使用数据,禁止进行个人信息的重新识别</w:t>
      </w:r>
      <w:r>
        <w:rPr>
          <w:rFonts w:hint="eastAsia" w:cs="Times New Roman"/>
          <w:kern w:val="0"/>
          <w:sz w:val="21"/>
          <w:szCs w:val="20"/>
          <w:lang w:val="en-US" w:eastAsia="zh-CN" w:bidi="ar-SA"/>
        </w:rPr>
        <w:t>；</w:t>
      </w:r>
    </w:p>
    <w:p>
      <w:pPr>
        <w:pStyle w:val="26"/>
        <w:numPr>
          <w:ilvl w:val="0"/>
          <w:numId w:val="14"/>
        </w:numPr>
        <w:spacing w:line="360" w:lineRule="auto"/>
        <w:ind w:left="840" w:hanging="420" w:firstLineChars="0"/>
        <w:rPr>
          <w:rFonts w:hint="default" w:cs="Times New Roman"/>
          <w:kern w:val="0"/>
          <w:sz w:val="21"/>
          <w:szCs w:val="20"/>
          <w:lang w:val="en-US" w:eastAsia="zh-CN" w:bidi="ar-SA"/>
        </w:rPr>
      </w:pPr>
      <w:r>
        <w:rPr>
          <w:rFonts w:hint="default" w:cs="Times New Roman"/>
          <w:kern w:val="0"/>
          <w:sz w:val="21"/>
          <w:szCs w:val="20"/>
          <w:lang w:val="en-US" w:eastAsia="zh-CN" w:bidi="ar-SA"/>
        </w:rPr>
        <w:t>在按照数据</w:t>
      </w:r>
      <w:r>
        <w:rPr>
          <w:rFonts w:hint="eastAsia" w:cs="Times New Roman"/>
          <w:kern w:val="0"/>
          <w:sz w:val="21"/>
          <w:szCs w:val="20"/>
          <w:lang w:val="en-US" w:eastAsia="zh-CN" w:bidi="ar-SA"/>
        </w:rPr>
        <w:t>流通</w:t>
      </w:r>
      <w:r>
        <w:rPr>
          <w:rFonts w:hint="default" w:cs="Times New Roman"/>
          <w:kern w:val="0"/>
          <w:sz w:val="21"/>
          <w:szCs w:val="20"/>
          <w:lang w:val="en-US" w:eastAsia="zh-CN" w:bidi="ar-SA"/>
        </w:rPr>
        <w:t>约定方式完成数据使用后，应及时销毁</w:t>
      </w:r>
      <w:r>
        <w:rPr>
          <w:rFonts w:hint="eastAsia" w:cs="Times New Roman"/>
          <w:kern w:val="0"/>
          <w:sz w:val="21"/>
          <w:szCs w:val="20"/>
          <w:lang w:val="en-US" w:eastAsia="zh-CN" w:bidi="ar-SA"/>
        </w:rPr>
        <w:t>流通</w:t>
      </w:r>
      <w:r>
        <w:rPr>
          <w:rFonts w:hint="default" w:cs="Times New Roman"/>
          <w:kern w:val="0"/>
          <w:sz w:val="21"/>
          <w:szCs w:val="20"/>
          <w:lang w:val="en-US" w:eastAsia="zh-CN" w:bidi="ar-SA"/>
        </w:rPr>
        <w:t>数据</w:t>
      </w:r>
      <w:r>
        <w:rPr>
          <w:rFonts w:hint="eastAsia" w:cs="Times New Roman"/>
          <w:kern w:val="0"/>
          <w:sz w:val="21"/>
          <w:szCs w:val="20"/>
          <w:lang w:val="en-US" w:eastAsia="zh-CN" w:bidi="ar-SA"/>
        </w:rPr>
        <w:t>；</w:t>
      </w:r>
    </w:p>
    <w:p>
      <w:pPr>
        <w:pStyle w:val="26"/>
        <w:numPr>
          <w:ilvl w:val="0"/>
          <w:numId w:val="14"/>
        </w:numPr>
        <w:spacing w:line="360" w:lineRule="auto"/>
        <w:ind w:left="840" w:hanging="420" w:firstLineChars="0"/>
        <w:rPr>
          <w:rFonts w:hint="default" w:cs="Times New Roman"/>
          <w:kern w:val="0"/>
          <w:sz w:val="21"/>
          <w:szCs w:val="20"/>
          <w:lang w:val="en-US" w:eastAsia="zh-CN" w:bidi="ar-SA"/>
        </w:rPr>
      </w:pPr>
      <w:r>
        <w:rPr>
          <w:rFonts w:hint="default" w:cs="Times New Roman"/>
          <w:kern w:val="0"/>
          <w:sz w:val="21"/>
          <w:szCs w:val="20"/>
          <w:lang w:val="en-US" w:eastAsia="zh-CN" w:bidi="ar-SA"/>
        </w:rPr>
        <w:t>遵守</w:t>
      </w:r>
      <w:r>
        <w:rPr>
          <w:rFonts w:hint="eastAsia" w:cs="Times New Roman"/>
          <w:kern w:val="0"/>
          <w:sz w:val="21"/>
          <w:szCs w:val="20"/>
          <w:lang w:val="en-US" w:eastAsia="zh-CN" w:bidi="ar-SA"/>
        </w:rPr>
        <w:t>数据交易服务机构</w:t>
      </w:r>
      <w:r>
        <w:rPr>
          <w:rFonts w:hint="default" w:cs="Times New Roman"/>
          <w:kern w:val="0"/>
          <w:sz w:val="21"/>
          <w:szCs w:val="20"/>
          <w:lang w:val="en-US" w:eastAsia="zh-CN" w:bidi="ar-SA"/>
        </w:rPr>
        <w:t>的安全管理制度和流程。</w:t>
      </w:r>
    </w:p>
    <w:p>
      <w:pPr>
        <w:pStyle w:val="3"/>
        <w:spacing w:line="360" w:lineRule="auto"/>
        <w:rPr>
          <w:rFonts w:hint="default" w:cs="Times New Roman"/>
          <w:color w:val="auto"/>
          <w:kern w:val="2"/>
          <w:sz w:val="32"/>
          <w:szCs w:val="52"/>
          <w:highlight w:val="none"/>
          <w:lang w:val="en-US" w:eastAsia="zh-CN" w:bidi="ar-SA"/>
        </w:rPr>
      </w:pPr>
    </w:p>
    <w:p>
      <w:pPr>
        <w:pStyle w:val="25"/>
        <w:spacing w:before="312" w:after="312" w:line="360" w:lineRule="auto"/>
        <w:outlineLvl w:val="0"/>
        <w:rPr>
          <w:rFonts w:hint="default" w:ascii="黑体" w:hAnsi="Times New Roman" w:eastAsia="黑体" w:cs="Times New Roman"/>
          <w:color w:val="auto"/>
          <w:kern w:val="0"/>
          <w:sz w:val="21"/>
          <w:szCs w:val="20"/>
          <w:highlight w:val="none"/>
          <w:lang w:val="en-US" w:eastAsia="zh-CN" w:bidi="ar-SA"/>
        </w:rPr>
      </w:pPr>
      <w:bookmarkStart w:id="112" w:name="_Toc1790"/>
      <w:r>
        <w:rPr>
          <w:rFonts w:hint="eastAsia" w:cs="Times New Roman"/>
          <w:color w:val="auto"/>
          <w:kern w:val="0"/>
          <w:sz w:val="21"/>
          <w:szCs w:val="20"/>
          <w:highlight w:val="none"/>
          <w:lang w:val="en-US" w:eastAsia="zh-CN" w:bidi="ar-SA"/>
        </w:rPr>
        <w:t>数据流通安全技术要求</w:t>
      </w:r>
      <w:bookmarkEnd w:id="112"/>
    </w:p>
    <w:p>
      <w:pPr>
        <w:pStyle w:val="27"/>
        <w:spacing w:before="312" w:after="312" w:line="360" w:lineRule="auto"/>
        <w:outlineLvl w:val="1"/>
        <w:rPr>
          <w:rFonts w:hint="eastAsia"/>
          <w:color w:val="auto"/>
          <w:highlight w:val="none"/>
          <w:lang w:val="en-US" w:eastAsia="zh-CN"/>
        </w:rPr>
      </w:pPr>
      <w:bookmarkStart w:id="113" w:name="_Toc27317"/>
      <w:bookmarkStart w:id="114" w:name="_Toc13403"/>
      <w:r>
        <w:rPr>
          <w:rFonts w:hint="eastAsia"/>
          <w:color w:val="auto"/>
          <w:highlight w:val="none"/>
          <w:lang w:val="en-US" w:eastAsia="zh-CN"/>
        </w:rPr>
        <w:t>数据采集</w:t>
      </w:r>
      <w:bookmarkEnd w:id="113"/>
      <w:bookmarkEnd w:id="114"/>
    </w:p>
    <w:p>
      <w:pPr>
        <w:pStyle w:val="28"/>
        <w:bidi w:val="0"/>
        <w:outlineLvl w:val="2"/>
        <w:rPr>
          <w:rFonts w:hint="default"/>
          <w:lang w:val="en-US" w:eastAsia="zh-CN"/>
        </w:rPr>
      </w:pPr>
      <w:bookmarkStart w:id="115" w:name="_Toc32413"/>
      <w:bookmarkStart w:id="116" w:name="_Toc22747"/>
      <w:r>
        <w:rPr>
          <w:rFonts w:hint="eastAsia"/>
          <w:lang w:val="en-US" w:eastAsia="zh-CN"/>
        </w:rPr>
        <w:t>数据采集安全管理</w:t>
      </w:r>
      <w:bookmarkEnd w:id="115"/>
      <w:bookmarkEnd w:id="116"/>
    </w:p>
    <w:p>
      <w:pPr>
        <w:rPr>
          <w:rFonts w:hint="default"/>
          <w:lang w:val="en-US" w:eastAsia="zh-CN"/>
        </w:rPr>
      </w:pPr>
      <w:r>
        <w:rPr>
          <w:rFonts w:hint="eastAsia" w:cs="Times New Roman"/>
          <w:lang w:val="en-US" w:eastAsia="zh-CN"/>
        </w:rPr>
        <w:t>数据供方数据采集应满足如下要求：</w:t>
      </w:r>
    </w:p>
    <w:p>
      <w:pPr>
        <w:pStyle w:val="26"/>
        <w:numPr>
          <w:ilvl w:val="0"/>
          <w:numId w:val="15"/>
        </w:numPr>
        <w:spacing w:line="360" w:lineRule="auto"/>
        <w:ind w:left="840" w:hanging="420" w:firstLineChars="0"/>
        <w:rPr>
          <w:rFonts w:hint="default"/>
          <w:lang w:val="en-US" w:eastAsia="zh-CN"/>
        </w:rPr>
      </w:pPr>
      <w:bookmarkStart w:id="117" w:name="_Toc420508186"/>
      <w:bookmarkStart w:id="118" w:name="_Toc420582963"/>
      <w:r>
        <w:rPr>
          <w:rFonts w:hint="eastAsia"/>
          <w:lang w:val="en-US" w:eastAsia="zh-CN"/>
        </w:rPr>
        <w:t>组织开展数据采集活动的过程中应满足</w:t>
      </w:r>
      <w:r>
        <w:rPr>
          <w:rFonts w:hint="eastAsia" w:ascii="宋体" w:eastAsia="宋体"/>
          <w:color w:val="auto"/>
          <w:highlight w:val="none"/>
          <w:lang w:val="en-US" w:eastAsia="zh-CN"/>
        </w:rPr>
        <w:t>权责一致</w:t>
      </w:r>
      <w:r>
        <w:rPr>
          <w:rFonts w:hint="eastAsia" w:ascii="宋体"/>
          <w:color w:val="auto"/>
          <w:highlight w:val="none"/>
          <w:lang w:val="en-US" w:eastAsia="zh-CN"/>
        </w:rPr>
        <w:t>、</w:t>
      </w:r>
      <w:r>
        <w:rPr>
          <w:rFonts w:hint="eastAsia" w:ascii="宋体" w:eastAsia="宋体"/>
          <w:color w:val="auto"/>
          <w:highlight w:val="none"/>
          <w:lang w:val="en-US" w:eastAsia="zh-CN"/>
        </w:rPr>
        <w:t>目的明确</w:t>
      </w:r>
      <w:r>
        <w:rPr>
          <w:rFonts w:hint="eastAsia" w:ascii="宋体"/>
          <w:color w:val="auto"/>
          <w:highlight w:val="none"/>
          <w:lang w:val="en-US" w:eastAsia="zh-CN"/>
        </w:rPr>
        <w:t>、</w:t>
      </w:r>
      <w:r>
        <w:rPr>
          <w:rFonts w:hint="eastAsia" w:ascii="宋体" w:eastAsia="宋体"/>
          <w:color w:val="auto"/>
          <w:highlight w:val="none"/>
          <w:lang w:val="en-US" w:eastAsia="zh-CN"/>
        </w:rPr>
        <w:t>选择同意</w:t>
      </w:r>
      <w:r>
        <w:rPr>
          <w:rFonts w:hint="eastAsia" w:ascii="宋体"/>
          <w:color w:val="auto"/>
          <w:highlight w:val="none"/>
          <w:lang w:val="en-US" w:eastAsia="zh-CN"/>
        </w:rPr>
        <w:t>、</w:t>
      </w:r>
      <w:r>
        <w:rPr>
          <w:rFonts w:hint="eastAsia" w:ascii="宋体" w:eastAsia="宋体"/>
          <w:color w:val="auto"/>
          <w:highlight w:val="none"/>
          <w:lang w:val="en-US" w:eastAsia="zh-CN"/>
        </w:rPr>
        <w:t>最小必要</w:t>
      </w:r>
      <w:r>
        <w:rPr>
          <w:rFonts w:hint="eastAsia" w:ascii="宋体"/>
          <w:color w:val="auto"/>
          <w:highlight w:val="none"/>
          <w:lang w:val="en-US" w:eastAsia="zh-CN"/>
        </w:rPr>
        <w:t>、</w:t>
      </w:r>
      <w:r>
        <w:rPr>
          <w:rFonts w:hint="eastAsia" w:ascii="宋体" w:eastAsia="宋体"/>
          <w:color w:val="auto"/>
          <w:highlight w:val="none"/>
          <w:lang w:val="en-US" w:eastAsia="zh-CN"/>
        </w:rPr>
        <w:t>公开透明</w:t>
      </w:r>
      <w:r>
        <w:rPr>
          <w:rFonts w:hint="eastAsia" w:ascii="宋体"/>
          <w:color w:val="auto"/>
          <w:highlight w:val="none"/>
          <w:lang w:val="en-US" w:eastAsia="zh-CN"/>
        </w:rPr>
        <w:t>、</w:t>
      </w:r>
      <w:r>
        <w:rPr>
          <w:rFonts w:hint="eastAsia" w:ascii="宋体" w:eastAsia="宋体"/>
          <w:color w:val="auto"/>
          <w:highlight w:val="none"/>
          <w:lang w:val="en-US" w:eastAsia="zh-CN"/>
        </w:rPr>
        <w:t>确保安全</w:t>
      </w:r>
      <w:r>
        <w:rPr>
          <w:rFonts w:hint="eastAsia" w:ascii="宋体"/>
          <w:color w:val="auto"/>
          <w:highlight w:val="none"/>
          <w:lang w:val="en-US" w:eastAsia="zh-CN"/>
        </w:rPr>
        <w:t>、</w:t>
      </w:r>
      <w:r>
        <w:rPr>
          <w:rFonts w:hint="eastAsia" w:ascii="宋体" w:eastAsia="宋体"/>
          <w:color w:val="auto"/>
          <w:highlight w:val="none"/>
          <w:lang w:val="en-US" w:eastAsia="zh-CN"/>
        </w:rPr>
        <w:t>主体参与</w:t>
      </w:r>
      <w:r>
        <w:rPr>
          <w:rFonts w:hint="eastAsia" w:ascii="宋体"/>
          <w:color w:val="auto"/>
          <w:highlight w:val="none"/>
          <w:lang w:val="en-US" w:eastAsia="zh-CN"/>
        </w:rPr>
        <w:t>等原则；</w:t>
      </w:r>
    </w:p>
    <w:p>
      <w:pPr>
        <w:pStyle w:val="26"/>
        <w:numPr>
          <w:ilvl w:val="0"/>
          <w:numId w:val="15"/>
        </w:numPr>
        <w:spacing w:line="360" w:lineRule="auto"/>
        <w:ind w:left="840" w:hanging="420" w:firstLineChars="0"/>
        <w:rPr>
          <w:rFonts w:hint="eastAsia" w:ascii="宋体" w:hAnsi="Times New Roman" w:eastAsia="宋体" w:cs="Times New Roman"/>
          <w:color w:val="auto"/>
          <w:highlight w:val="none"/>
          <w:lang w:val="en-US" w:eastAsia="zh-CN"/>
        </w:rPr>
      </w:pPr>
      <w:r>
        <w:rPr>
          <w:rFonts w:hint="eastAsia" w:hAnsi="Times New Roman" w:cs="Times New Roman"/>
          <w:color w:val="auto"/>
          <w:highlight w:val="none"/>
          <w:lang w:val="en-US" w:eastAsia="zh-CN"/>
        </w:rPr>
        <w:t>应设立数据采集安全管理团队，负责制定</w:t>
      </w:r>
      <w:r>
        <w:rPr>
          <w:rFonts w:hint="eastAsia" w:cs="Times New Roman"/>
          <w:color w:val="auto"/>
          <w:highlight w:val="none"/>
          <w:lang w:val="en-US" w:eastAsia="zh-CN"/>
        </w:rPr>
        <w:t>和推动实施</w:t>
      </w:r>
      <w:r>
        <w:rPr>
          <w:rFonts w:hint="eastAsia" w:hAnsi="Times New Roman" w:cs="Times New Roman"/>
          <w:color w:val="auto"/>
          <w:highlight w:val="none"/>
          <w:lang w:val="en-US" w:eastAsia="zh-CN"/>
        </w:rPr>
        <w:t>整体的数据采集安全合规管理制度；</w:t>
      </w:r>
    </w:p>
    <w:p>
      <w:pPr>
        <w:pStyle w:val="26"/>
        <w:numPr>
          <w:ilvl w:val="0"/>
          <w:numId w:val="15"/>
        </w:numPr>
        <w:spacing w:line="360" w:lineRule="auto"/>
        <w:ind w:left="840" w:hanging="420" w:firstLineChars="0"/>
        <w:rPr>
          <w:rFonts w:hint="eastAsia" w:ascii="宋体" w:hAnsi="Times New Roman" w:eastAsia="宋体" w:cs="Times New Roman"/>
          <w:color w:val="auto"/>
          <w:highlight w:val="none"/>
          <w:lang w:val="en-US" w:eastAsia="zh-CN"/>
        </w:rPr>
      </w:pPr>
      <w:r>
        <w:rPr>
          <w:rFonts w:hint="eastAsia" w:hAnsi="Times New Roman" w:cs="Times New Roman"/>
          <w:color w:val="auto"/>
          <w:highlight w:val="none"/>
          <w:lang w:val="en-US" w:eastAsia="zh-CN"/>
        </w:rPr>
        <w:t>应设立数据采集风险评估团队，负责对不同业务或项目场景的数据</w:t>
      </w:r>
      <w:r>
        <w:rPr>
          <w:rFonts w:hint="eastAsia" w:cs="Times New Roman"/>
          <w:color w:val="auto"/>
          <w:highlight w:val="none"/>
          <w:lang w:val="en-US" w:eastAsia="zh-CN"/>
        </w:rPr>
        <w:t>采集提供</w:t>
      </w:r>
      <w:r>
        <w:rPr>
          <w:rFonts w:hint="eastAsia" w:hAnsi="Times New Roman" w:cs="Times New Roman"/>
          <w:color w:val="auto"/>
          <w:highlight w:val="none"/>
          <w:lang w:val="en-US" w:eastAsia="zh-CN"/>
        </w:rPr>
        <w:t>安全评估服务支持，并制定相应的改进方案</w:t>
      </w:r>
      <w:r>
        <w:rPr>
          <w:rFonts w:hint="eastAsia" w:cs="Times New Roman"/>
          <w:color w:val="auto"/>
          <w:highlight w:val="none"/>
          <w:lang w:val="en-US" w:eastAsia="zh-CN"/>
        </w:rPr>
        <w:t>，</w:t>
      </w:r>
      <w:r>
        <w:rPr>
          <w:rFonts w:hint="eastAsia" w:ascii="宋体" w:hAnsi="Times New Roman" w:eastAsia="宋体" w:cs="Times New Roman"/>
          <w:color w:val="auto"/>
          <w:highlight w:val="none"/>
          <w:lang w:val="en-US" w:eastAsia="zh-CN"/>
        </w:rPr>
        <w:t>评估内容包括但不限于合规安全性、技术安全性等</w:t>
      </w:r>
      <w:r>
        <w:rPr>
          <w:rFonts w:hint="eastAsia" w:hAnsi="Times New Roman" w:cs="Times New Roman"/>
          <w:color w:val="auto"/>
          <w:highlight w:val="none"/>
          <w:lang w:val="en-US" w:eastAsia="zh-CN"/>
        </w:rPr>
        <w:t>；</w:t>
      </w:r>
    </w:p>
    <w:p>
      <w:pPr>
        <w:pStyle w:val="26"/>
        <w:numPr>
          <w:ilvl w:val="0"/>
          <w:numId w:val="15"/>
        </w:numPr>
        <w:spacing w:line="360" w:lineRule="auto"/>
        <w:ind w:left="840" w:hanging="420" w:firstLineChars="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定义采集数据的目的和用途，明确数据来源、采集方式、采集范围等内容，并制定标准的采集模板、数据采集方法、策略和规范；</w:t>
      </w:r>
    </w:p>
    <w:p>
      <w:pPr>
        <w:pStyle w:val="26"/>
        <w:numPr>
          <w:ilvl w:val="0"/>
          <w:numId w:val="15"/>
        </w:numPr>
        <w:spacing w:line="360" w:lineRule="auto"/>
        <w:ind w:left="840" w:hanging="420" w:firstLineChars="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遵循合规原则，确保数据采集的合法性、正当性和必要性；</w:t>
      </w:r>
    </w:p>
    <w:p>
      <w:pPr>
        <w:pStyle w:val="26"/>
        <w:numPr>
          <w:ilvl w:val="0"/>
          <w:numId w:val="15"/>
        </w:numPr>
        <w:spacing w:line="360" w:lineRule="auto"/>
        <w:ind w:left="840" w:hanging="420" w:firstLineChars="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设置专人负责信息生产或提供者的数据审核和采集工作；</w:t>
      </w:r>
    </w:p>
    <w:p>
      <w:pPr>
        <w:pStyle w:val="26"/>
        <w:numPr>
          <w:ilvl w:val="0"/>
          <w:numId w:val="15"/>
        </w:numPr>
        <w:spacing w:line="360" w:lineRule="auto"/>
        <w:ind w:left="840" w:hanging="420" w:firstLineChars="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对于初次采集的数据，</w:t>
      </w:r>
      <w:r>
        <w:rPr>
          <w:rFonts w:hint="eastAsia" w:cs="Times New Roman"/>
          <w:color w:val="auto"/>
          <w:highlight w:val="none"/>
          <w:lang w:val="en-US" w:eastAsia="zh-CN"/>
        </w:rPr>
        <w:t>应</w:t>
      </w:r>
      <w:r>
        <w:rPr>
          <w:rFonts w:hint="eastAsia" w:ascii="宋体" w:hAnsi="Times New Roman" w:eastAsia="宋体" w:cs="Times New Roman"/>
          <w:color w:val="auto"/>
          <w:highlight w:val="none"/>
          <w:lang w:val="en-US" w:eastAsia="zh-CN"/>
        </w:rPr>
        <w:t>采用人工与技术相结合的方式进行数据采集，并根据数据的来源、类型或重要程度进行分类；</w:t>
      </w:r>
    </w:p>
    <w:p>
      <w:pPr>
        <w:pStyle w:val="26"/>
        <w:numPr>
          <w:ilvl w:val="0"/>
          <w:numId w:val="15"/>
        </w:numPr>
        <w:spacing w:line="360" w:lineRule="auto"/>
        <w:ind w:left="840" w:hanging="420" w:firstLineChars="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最小化采集数据，仅需要完成必须工作即可，确保不收集与提供服务无关的个人信息和重要数据；</w:t>
      </w:r>
    </w:p>
    <w:p>
      <w:pPr>
        <w:pStyle w:val="26"/>
        <w:numPr>
          <w:ilvl w:val="0"/>
          <w:numId w:val="15"/>
        </w:numPr>
        <w:spacing w:line="360" w:lineRule="auto"/>
        <w:ind w:left="840" w:hanging="420" w:firstLineChars="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对采集的数据进行分级分类标识，并对不同类</w:t>
      </w:r>
      <w:r>
        <w:rPr>
          <w:rFonts w:hint="eastAsia" w:cs="Times New Roman"/>
          <w:color w:val="auto"/>
          <w:highlight w:val="none"/>
          <w:lang w:val="en-US" w:eastAsia="zh-CN"/>
        </w:rPr>
        <w:t>别、</w:t>
      </w:r>
      <w:r>
        <w:rPr>
          <w:rFonts w:hint="eastAsia" w:ascii="宋体" w:hAnsi="Times New Roman" w:eastAsia="宋体" w:cs="Times New Roman"/>
          <w:color w:val="auto"/>
          <w:highlight w:val="none"/>
          <w:lang w:val="en-US" w:eastAsia="zh-CN"/>
        </w:rPr>
        <w:t>级别的数据实施相应的安全管理策略和保障措施，对数据采集环境、设施和技术采取必要的安全管理措施</w:t>
      </w:r>
      <w:r>
        <w:rPr>
          <w:rFonts w:hint="eastAsia" w:hAnsi="Times New Roman" w:cs="Times New Roman"/>
          <w:color w:val="auto"/>
          <w:highlight w:val="none"/>
          <w:lang w:val="en-US" w:eastAsia="zh-CN"/>
        </w:rPr>
        <w:t>；</w:t>
      </w:r>
    </w:p>
    <w:p>
      <w:pPr>
        <w:pStyle w:val="26"/>
        <w:numPr>
          <w:ilvl w:val="0"/>
          <w:numId w:val="15"/>
        </w:numPr>
        <w:spacing w:line="360" w:lineRule="auto"/>
        <w:ind w:left="840" w:hanging="420" w:firstLineChars="0"/>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部署数据采集系统或相关工具，</w:t>
      </w:r>
      <w:r>
        <w:rPr>
          <w:rFonts w:hint="eastAsia" w:cs="Times New Roman"/>
          <w:color w:val="auto"/>
          <w:highlight w:val="none"/>
          <w:lang w:val="en-US" w:eastAsia="zh-CN"/>
        </w:rPr>
        <w:t>制定</w:t>
      </w:r>
      <w:r>
        <w:rPr>
          <w:rFonts w:hint="default" w:ascii="宋体" w:hAnsi="Times New Roman" w:eastAsia="宋体" w:cs="Times New Roman"/>
          <w:color w:val="auto"/>
          <w:highlight w:val="none"/>
          <w:lang w:val="en-US" w:eastAsia="zh-CN"/>
        </w:rPr>
        <w:t>数据采集策略（如采集周期、频率、采集内容等）对数据进行采集</w:t>
      </w:r>
      <w:r>
        <w:rPr>
          <w:rFonts w:hint="eastAsia" w:hAnsi="Times New Roman" w:cs="Times New Roman"/>
          <w:color w:val="auto"/>
          <w:highlight w:val="none"/>
          <w:lang w:val="en-US" w:eastAsia="zh-CN"/>
        </w:rPr>
        <w:t>；</w:t>
      </w:r>
    </w:p>
    <w:p>
      <w:pPr>
        <w:pStyle w:val="26"/>
        <w:numPr>
          <w:ilvl w:val="0"/>
          <w:numId w:val="15"/>
        </w:numPr>
        <w:spacing w:line="360" w:lineRule="auto"/>
        <w:ind w:left="840" w:hanging="420" w:firstLineChars="0"/>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在采集过程中对被采集方授权同意采集的过程和信息进行日志记录</w:t>
      </w:r>
      <w:r>
        <w:rPr>
          <w:rFonts w:hint="eastAsia" w:hAnsi="Times New Roman" w:cs="Times New Roman"/>
          <w:color w:val="auto"/>
          <w:highlight w:val="none"/>
          <w:lang w:val="en-US" w:eastAsia="zh-CN"/>
        </w:rPr>
        <w:t>；</w:t>
      </w:r>
    </w:p>
    <w:p>
      <w:pPr>
        <w:pStyle w:val="26"/>
        <w:numPr>
          <w:ilvl w:val="0"/>
          <w:numId w:val="15"/>
        </w:numPr>
        <w:spacing w:line="360" w:lineRule="auto"/>
        <w:ind w:left="840" w:hanging="420" w:firstLineChars="0"/>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实施数据采集过程的数据防泄漏安全技术措施</w:t>
      </w:r>
      <w:r>
        <w:rPr>
          <w:rFonts w:hint="eastAsia" w:cs="Times New Roman"/>
          <w:color w:val="auto"/>
          <w:highlight w:val="none"/>
          <w:lang w:val="en-US" w:eastAsia="zh-CN"/>
        </w:rPr>
        <w:t>：</w:t>
      </w:r>
      <w:r>
        <w:rPr>
          <w:rFonts w:hint="default" w:ascii="宋体" w:hAnsi="Times New Roman" w:eastAsia="宋体" w:cs="Times New Roman"/>
          <w:color w:val="auto"/>
          <w:highlight w:val="none"/>
          <w:lang w:val="en-US" w:eastAsia="zh-CN"/>
        </w:rPr>
        <w:t>如采集数据的加密、采集链路加密、敏感信息和字段的脱敏、权限的访问控制等</w:t>
      </w:r>
      <w:r>
        <w:rPr>
          <w:rFonts w:hint="eastAsia" w:hAnsi="Times New Roman" w:cs="Times New Roman"/>
          <w:color w:val="auto"/>
          <w:highlight w:val="none"/>
          <w:lang w:val="en-US" w:eastAsia="zh-CN"/>
        </w:rPr>
        <w:t>。</w:t>
      </w:r>
    </w:p>
    <w:p>
      <w:pPr>
        <w:pStyle w:val="28"/>
        <w:bidi w:val="0"/>
        <w:outlineLvl w:val="2"/>
        <w:rPr>
          <w:rFonts w:hint="default"/>
          <w:lang w:val="en-US" w:eastAsia="zh-CN"/>
        </w:rPr>
      </w:pPr>
      <w:bookmarkStart w:id="119" w:name="_Toc21488"/>
      <w:bookmarkStart w:id="120" w:name="_Toc22369"/>
      <w:r>
        <w:rPr>
          <w:rFonts w:hint="eastAsia"/>
          <w:lang w:val="en-US" w:eastAsia="zh-CN"/>
        </w:rPr>
        <w:t>数据源鉴别及记录管理</w:t>
      </w:r>
      <w:bookmarkEnd w:id="119"/>
      <w:bookmarkEnd w:id="120"/>
    </w:p>
    <w:p>
      <w:pPr>
        <w:rPr>
          <w:rFonts w:hint="default"/>
          <w:lang w:val="en-US" w:eastAsia="zh-CN"/>
        </w:rPr>
      </w:pPr>
      <w:r>
        <w:rPr>
          <w:rFonts w:hint="eastAsia"/>
          <w:lang w:val="en-US" w:eastAsia="zh-CN"/>
        </w:rPr>
        <w:t>数据供方</w:t>
      </w:r>
      <w:r>
        <w:rPr>
          <w:rFonts w:hint="default"/>
          <w:lang w:val="en-US" w:eastAsia="zh-CN"/>
        </w:rPr>
        <w:t>开展数据源鉴别及记录活动的过程中应遵循如下基本要求，防止数据仿冒和伪造：</w:t>
      </w:r>
    </w:p>
    <w:p>
      <w:pPr>
        <w:pStyle w:val="26"/>
        <w:numPr>
          <w:ilvl w:val="0"/>
          <w:numId w:val="16"/>
        </w:numPr>
        <w:spacing w:line="360" w:lineRule="auto"/>
        <w:ind w:left="840" w:hanging="420" w:firstLineChars="0"/>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设立负责数据源鉴别和记录的岗位和人员</w:t>
      </w:r>
      <w:r>
        <w:rPr>
          <w:rFonts w:hint="eastAsia" w:hAnsi="Times New Roman" w:cs="Times New Roman"/>
          <w:color w:val="auto"/>
          <w:highlight w:val="none"/>
          <w:lang w:val="en-US" w:eastAsia="zh-CN"/>
        </w:rPr>
        <w:t>，负责对数据源进行鉴别、记录和追溯，检测数据是否被仿冒、伪造，同时提供统一的数据源管理策略和方案</w:t>
      </w:r>
      <w:r>
        <w:rPr>
          <w:rFonts w:hint="eastAsia" w:ascii="宋体" w:hAnsi="Times New Roman" w:eastAsia="宋体" w:cs="Times New Roman"/>
          <w:color w:val="auto"/>
          <w:highlight w:val="none"/>
          <w:lang w:val="en-US" w:eastAsia="zh-CN"/>
        </w:rPr>
        <w:t>；</w:t>
      </w:r>
    </w:p>
    <w:p>
      <w:pPr>
        <w:pStyle w:val="26"/>
        <w:numPr>
          <w:ilvl w:val="0"/>
          <w:numId w:val="16"/>
        </w:numPr>
        <w:spacing w:line="360" w:lineRule="auto"/>
        <w:ind w:left="840" w:hanging="420" w:firstLineChars="0"/>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采取</w:t>
      </w:r>
      <w:r>
        <w:rPr>
          <w:rFonts w:hint="eastAsia" w:cs="Times New Roman"/>
          <w:color w:val="auto"/>
          <w:highlight w:val="none"/>
          <w:lang w:val="en-US" w:eastAsia="zh-CN"/>
        </w:rPr>
        <w:t>标注法、反向查询法等技术手段</w:t>
      </w:r>
      <w:r>
        <w:rPr>
          <w:rFonts w:hint="default" w:ascii="宋体" w:hAnsi="Times New Roman" w:eastAsia="宋体" w:cs="Times New Roman"/>
          <w:color w:val="auto"/>
          <w:highlight w:val="none"/>
          <w:lang w:val="en-US" w:eastAsia="zh-CN"/>
        </w:rPr>
        <w:t>对外部收集的数据和数据源进行识别和记录；</w:t>
      </w:r>
    </w:p>
    <w:p>
      <w:pPr>
        <w:pStyle w:val="26"/>
        <w:numPr>
          <w:ilvl w:val="0"/>
          <w:numId w:val="16"/>
        </w:numPr>
        <w:spacing w:line="360" w:lineRule="auto"/>
        <w:ind w:left="840" w:hanging="420" w:firstLineChars="0"/>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对关键溯源数据进行备份，并采取</w:t>
      </w:r>
      <w:r>
        <w:rPr>
          <w:rFonts w:hint="eastAsia" w:cs="Times New Roman"/>
          <w:color w:val="auto"/>
          <w:highlight w:val="none"/>
          <w:lang w:val="en-US" w:eastAsia="zh-CN"/>
        </w:rPr>
        <w:t>数据加密、访问控制及数据备份等技术手段</w:t>
      </w:r>
      <w:r>
        <w:rPr>
          <w:rFonts w:hint="default" w:ascii="宋体" w:hAnsi="Times New Roman" w:eastAsia="宋体" w:cs="Times New Roman"/>
          <w:color w:val="auto"/>
          <w:highlight w:val="none"/>
          <w:lang w:val="en-US" w:eastAsia="zh-CN"/>
        </w:rPr>
        <w:t>对溯源数据进行安全保护；</w:t>
      </w:r>
    </w:p>
    <w:p>
      <w:pPr>
        <w:pStyle w:val="26"/>
        <w:numPr>
          <w:ilvl w:val="0"/>
          <w:numId w:val="16"/>
        </w:numPr>
        <w:spacing w:line="360" w:lineRule="auto"/>
        <w:ind w:left="840" w:hanging="420" w:firstLineChars="0"/>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确保负责该项工作的人员理解数据源鉴别标准和组织内部的数据采集业务，并结合实际情况执行标准要求；</w:t>
      </w:r>
    </w:p>
    <w:p>
      <w:pPr>
        <w:pStyle w:val="26"/>
        <w:numPr>
          <w:ilvl w:val="0"/>
          <w:numId w:val="16"/>
        </w:numPr>
        <w:spacing w:line="360" w:lineRule="auto"/>
        <w:ind w:left="840" w:hanging="420" w:firstLineChars="0"/>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通过身份鉴别、数据源认证等安全机制确保数据来源的真实性。</w:t>
      </w:r>
    </w:p>
    <w:p>
      <w:pPr>
        <w:pStyle w:val="27"/>
        <w:spacing w:before="312" w:after="312" w:line="360" w:lineRule="auto"/>
        <w:outlineLvl w:val="1"/>
        <w:rPr>
          <w:rFonts w:hint="eastAsia" w:hAnsi="黑体" w:cs="Times New Roman"/>
          <w:color w:val="auto"/>
          <w:highlight w:val="none"/>
          <w:lang w:val="en-US" w:eastAsia="zh-CN"/>
        </w:rPr>
      </w:pPr>
      <w:bookmarkStart w:id="121" w:name="_Toc17415"/>
      <w:bookmarkStart w:id="122" w:name="_Toc5956"/>
      <w:r>
        <w:rPr>
          <w:rFonts w:hint="eastAsia" w:hAnsi="黑体" w:cs="Times New Roman"/>
          <w:color w:val="auto"/>
          <w:highlight w:val="none"/>
          <w:lang w:val="en-US" w:eastAsia="zh-CN"/>
        </w:rPr>
        <w:t>数据传输</w:t>
      </w:r>
      <w:bookmarkEnd w:id="121"/>
      <w:bookmarkEnd w:id="122"/>
    </w:p>
    <w:p>
      <w:pPr>
        <w:pStyle w:val="28"/>
        <w:bidi w:val="0"/>
        <w:outlineLvl w:val="2"/>
        <w:rPr>
          <w:rFonts w:hint="default"/>
          <w:lang w:val="en-US" w:eastAsia="zh-CN"/>
        </w:rPr>
      </w:pPr>
      <w:bookmarkStart w:id="123" w:name="_Toc16563"/>
      <w:bookmarkStart w:id="124" w:name="_Toc24586"/>
      <w:r>
        <w:rPr>
          <w:rFonts w:hint="eastAsia"/>
          <w:lang w:val="en-US" w:eastAsia="zh-CN"/>
        </w:rPr>
        <w:t>数据加密传输</w:t>
      </w:r>
      <w:bookmarkEnd w:id="123"/>
      <w:bookmarkEnd w:id="124"/>
    </w:p>
    <w:p>
      <w:pPr>
        <w:rPr>
          <w:rFonts w:hint="default" w:cs="Times New Roman"/>
          <w:lang w:val="en-US" w:eastAsia="zh-CN"/>
        </w:rPr>
      </w:pPr>
      <w:r>
        <w:rPr>
          <w:rFonts w:hint="eastAsia" w:cs="Times New Roman"/>
          <w:lang w:val="en-US" w:eastAsia="zh-CN"/>
        </w:rPr>
        <w:t>在数据进行传输时，应满足如下要求：</w:t>
      </w:r>
    </w:p>
    <w:p>
      <w:pPr>
        <w:pStyle w:val="26"/>
        <w:numPr>
          <w:ilvl w:val="0"/>
          <w:numId w:val="17"/>
        </w:numPr>
        <w:spacing w:line="360" w:lineRule="auto"/>
        <w:ind w:left="840" w:hanging="420" w:firstLineChars="0"/>
        <w:rPr>
          <w:rFonts w:hint="eastAsia" w:ascii="宋体" w:hAnsi="Times New Roman" w:eastAsia="宋体" w:cs="Times New Roman"/>
          <w:color w:val="auto"/>
          <w:highlight w:val="none"/>
          <w:lang w:val="en-US" w:eastAsia="zh-CN"/>
        </w:rPr>
      </w:pPr>
      <w:r>
        <w:rPr>
          <w:rFonts w:hint="eastAsia" w:hAnsi="Times New Roman" w:cs="Times New Roman"/>
          <w:color w:val="auto"/>
          <w:highlight w:val="none"/>
          <w:lang w:val="en-US" w:eastAsia="zh-CN"/>
        </w:rPr>
        <w:t>应</w:t>
      </w:r>
      <w:r>
        <w:rPr>
          <w:rFonts w:hint="eastAsia" w:ascii="宋体" w:hAnsi="Times New Roman" w:eastAsia="宋体" w:cs="Times New Roman"/>
          <w:color w:val="auto"/>
          <w:highlight w:val="none"/>
          <w:lang w:val="en-US" w:eastAsia="zh-CN"/>
        </w:rPr>
        <w:t>设立数据加密管理部门</w:t>
      </w:r>
      <w:r>
        <w:rPr>
          <w:rFonts w:hint="eastAsia" w:hAnsi="Times New Roman" w:cs="Times New Roman"/>
          <w:color w:val="auto"/>
          <w:highlight w:val="none"/>
          <w:lang w:val="en-US" w:eastAsia="zh-CN"/>
        </w:rPr>
        <w:t>，负责整体的数据加密管理和密钥管理、制定整体的数据加密制度和原则，指定统一采用的数据加密算法、技术等，并推动</w:t>
      </w:r>
      <w:r>
        <w:rPr>
          <w:rFonts w:hint="eastAsia" w:cs="Times New Roman"/>
          <w:color w:val="auto"/>
          <w:highlight w:val="none"/>
          <w:lang w:val="en-US" w:eastAsia="zh-CN"/>
        </w:rPr>
        <w:t>落实</w:t>
      </w:r>
      <w:r>
        <w:rPr>
          <w:rFonts w:hint="eastAsia" w:hAnsi="Times New Roman" w:cs="Times New Roman"/>
          <w:color w:val="auto"/>
          <w:highlight w:val="none"/>
          <w:lang w:val="en-US" w:eastAsia="zh-CN"/>
        </w:rPr>
        <w:t>相关要求。</w:t>
      </w:r>
    </w:p>
    <w:p>
      <w:pPr>
        <w:pStyle w:val="26"/>
        <w:numPr>
          <w:ilvl w:val="0"/>
          <w:numId w:val="17"/>
        </w:numPr>
        <w:spacing w:line="360" w:lineRule="auto"/>
        <w:ind w:left="840" w:hanging="420" w:firstLineChars="0"/>
        <w:rPr>
          <w:rFonts w:hint="eastAsia" w:ascii="宋体" w:hAnsi="Times New Roman" w:eastAsia="宋体" w:cs="Times New Roman"/>
          <w:color w:val="auto"/>
          <w:highlight w:val="none"/>
          <w:lang w:val="en-US" w:eastAsia="zh-CN"/>
        </w:rPr>
      </w:pPr>
      <w:r>
        <w:rPr>
          <w:rFonts w:hint="eastAsia" w:hAnsi="Times New Roman" w:cs="Times New Roman"/>
          <w:color w:val="auto"/>
          <w:highlight w:val="none"/>
          <w:lang w:val="en-US" w:eastAsia="zh-CN"/>
        </w:rPr>
        <w:t>在数据传输前，</w:t>
      </w:r>
      <w:r>
        <w:rPr>
          <w:rFonts w:hint="eastAsia" w:ascii="宋体" w:hAnsi="Times New Roman" w:eastAsia="宋体" w:cs="Times New Roman"/>
          <w:color w:val="auto"/>
          <w:highlight w:val="none"/>
          <w:lang w:val="en-US" w:eastAsia="zh-CN"/>
        </w:rPr>
        <w:t>首先进行风险评估，评估内容包括重要程度、数据对机密性和完整性的要求程度以及其安全属性破坏后可能导致系统受到的影响程度</w:t>
      </w:r>
      <w:r>
        <w:rPr>
          <w:rFonts w:hint="eastAsia" w:hAnsi="Times New Roman" w:cs="Times New Roman"/>
          <w:color w:val="auto"/>
          <w:highlight w:val="none"/>
          <w:lang w:val="en-US" w:eastAsia="zh-CN"/>
        </w:rPr>
        <w:t>。</w:t>
      </w:r>
    </w:p>
    <w:p>
      <w:pPr>
        <w:pStyle w:val="26"/>
        <w:numPr>
          <w:ilvl w:val="0"/>
          <w:numId w:val="17"/>
        </w:numPr>
        <w:spacing w:line="360" w:lineRule="auto"/>
        <w:ind w:left="840" w:hanging="420" w:firstLineChars="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根据风险评估结果，</w:t>
      </w:r>
      <w:r>
        <w:rPr>
          <w:rFonts w:hint="eastAsia" w:hAnsi="Times New Roman" w:cs="Times New Roman"/>
          <w:color w:val="auto"/>
          <w:highlight w:val="none"/>
          <w:lang w:val="en-US" w:eastAsia="zh-CN"/>
        </w:rPr>
        <w:t>确定加密算法的类型、属性，以及所用的密钥长度，</w:t>
      </w:r>
      <w:r>
        <w:rPr>
          <w:rFonts w:hint="eastAsia" w:ascii="宋体" w:hAnsi="Times New Roman" w:eastAsia="宋体" w:cs="Times New Roman"/>
          <w:color w:val="auto"/>
          <w:highlight w:val="none"/>
          <w:lang w:val="en-US" w:eastAsia="zh-CN"/>
        </w:rPr>
        <w:t>采用合理的加密技术</w:t>
      </w:r>
      <w:r>
        <w:rPr>
          <w:rFonts w:hint="eastAsia" w:hAnsi="Times New Roman" w:cs="Times New Roman"/>
          <w:color w:val="auto"/>
          <w:highlight w:val="none"/>
          <w:lang w:val="en-US" w:eastAsia="zh-CN"/>
        </w:rPr>
        <w:t>。</w:t>
      </w:r>
    </w:p>
    <w:p>
      <w:pPr>
        <w:pStyle w:val="26"/>
        <w:numPr>
          <w:ilvl w:val="0"/>
          <w:numId w:val="17"/>
        </w:numPr>
        <w:spacing w:line="360" w:lineRule="auto"/>
        <w:ind w:left="840" w:hanging="420" w:firstLineChars="0"/>
        <w:rPr>
          <w:rFonts w:hint="default" w:hAnsi="Times New Roman" w:cs="Times New Roman"/>
          <w:color w:val="auto"/>
          <w:highlight w:val="none"/>
          <w:lang w:val="en-US" w:eastAsia="zh-CN"/>
        </w:rPr>
      </w:pPr>
      <w:r>
        <w:rPr>
          <w:rFonts w:hint="eastAsia" w:hAnsi="Times New Roman" w:cs="Times New Roman"/>
          <w:color w:val="auto"/>
          <w:highlight w:val="none"/>
          <w:lang w:val="en-US" w:eastAsia="zh-CN"/>
        </w:rPr>
        <w:t>选择的加密技术</w:t>
      </w:r>
      <w:r>
        <w:rPr>
          <w:rFonts w:hint="eastAsia" w:cs="Times New Roman"/>
          <w:color w:val="auto"/>
          <w:highlight w:val="none"/>
          <w:lang w:val="en-US" w:eastAsia="zh-CN"/>
        </w:rPr>
        <w:t>应</w:t>
      </w:r>
      <w:r>
        <w:rPr>
          <w:rFonts w:hint="default" w:hAnsi="Times New Roman" w:cs="Times New Roman"/>
          <w:color w:val="auto"/>
          <w:highlight w:val="none"/>
          <w:lang w:val="en-US" w:eastAsia="zh-CN"/>
        </w:rPr>
        <w:t>符合国家有关加密技术的法律法规</w:t>
      </w:r>
      <w:r>
        <w:rPr>
          <w:rFonts w:hint="eastAsia" w:hAnsi="Times New Roman" w:cs="Times New Roman"/>
          <w:color w:val="auto"/>
          <w:highlight w:val="none"/>
          <w:lang w:val="en-US" w:eastAsia="zh-CN"/>
        </w:rPr>
        <w:t>。</w:t>
      </w:r>
    </w:p>
    <w:p>
      <w:pPr>
        <w:pStyle w:val="26"/>
        <w:numPr>
          <w:ilvl w:val="0"/>
          <w:numId w:val="17"/>
        </w:numPr>
        <w:spacing w:line="360" w:lineRule="auto"/>
        <w:ind w:left="840" w:hanging="420" w:firstLineChars="0"/>
        <w:rPr>
          <w:rFonts w:hint="default" w:hAnsi="Times New Roman" w:cs="Times New Roman"/>
          <w:color w:val="auto"/>
          <w:highlight w:val="none"/>
          <w:lang w:val="en-US" w:eastAsia="zh-CN"/>
        </w:rPr>
      </w:pPr>
      <w:r>
        <w:rPr>
          <w:rFonts w:hint="eastAsia" w:hAnsi="Times New Roman" w:cs="Times New Roman"/>
          <w:color w:val="auto"/>
          <w:highlight w:val="none"/>
          <w:lang w:val="en-US" w:eastAsia="zh-CN"/>
        </w:rPr>
        <w:t>对生成、存储、归档保存密钥的设备采取物理保护。</w:t>
      </w:r>
    </w:p>
    <w:p>
      <w:pPr>
        <w:pStyle w:val="26"/>
        <w:numPr>
          <w:ilvl w:val="0"/>
          <w:numId w:val="17"/>
        </w:numPr>
        <w:spacing w:line="360" w:lineRule="auto"/>
        <w:ind w:left="840" w:hanging="420" w:firstLineChars="0"/>
        <w:rPr>
          <w:rFonts w:hint="default" w:hAnsi="Times New Roman" w:cs="Times New Roman"/>
          <w:color w:val="auto"/>
          <w:highlight w:val="none"/>
          <w:lang w:val="en-US" w:eastAsia="zh-CN"/>
        </w:rPr>
      </w:pPr>
      <w:r>
        <w:rPr>
          <w:rFonts w:hint="eastAsia" w:hAnsi="Times New Roman" w:cs="Times New Roman"/>
          <w:color w:val="auto"/>
          <w:highlight w:val="none"/>
          <w:lang w:val="en-US" w:eastAsia="zh-CN"/>
        </w:rPr>
        <w:t>使用经过业务平台部门批准的加密机制进行密钥分发，并记录密钥的分发过程，以便审计跟踪，统一对密钥、证书进行管理。</w:t>
      </w:r>
    </w:p>
    <w:p>
      <w:pPr>
        <w:pStyle w:val="26"/>
        <w:numPr>
          <w:ilvl w:val="0"/>
          <w:numId w:val="17"/>
        </w:numPr>
        <w:spacing w:line="360" w:lineRule="auto"/>
        <w:ind w:left="840" w:hanging="420" w:firstLineChars="0"/>
        <w:rPr>
          <w:rFonts w:hint="default" w:hAnsi="Times New Roman" w:cs="Times New Roman"/>
          <w:color w:val="auto"/>
          <w:highlight w:val="none"/>
          <w:lang w:val="en-US" w:eastAsia="zh-CN"/>
        </w:rPr>
      </w:pPr>
      <w:r>
        <w:rPr>
          <w:rFonts w:hint="eastAsia" w:hAnsi="Times New Roman" w:cs="Times New Roman"/>
          <w:color w:val="auto"/>
          <w:highlight w:val="none"/>
          <w:lang w:val="en-US" w:eastAsia="zh-CN"/>
        </w:rPr>
        <w:t>密钥的管理应基于以下流程：</w:t>
      </w:r>
    </w:p>
    <w:p>
      <w:pPr>
        <w:numPr>
          <w:ilvl w:val="0"/>
          <w:numId w:val="18"/>
        </w:numPr>
        <w:spacing w:line="360" w:lineRule="auto"/>
        <w:ind w:left="1260" w:leftChars="0" w:hanging="420" w:firstLineChars="0"/>
        <w:rPr>
          <w:rFonts w:hint="eastAsia"/>
          <w:color w:val="auto"/>
          <w:sz w:val="21"/>
          <w:szCs w:val="21"/>
          <w:lang w:val="en-US" w:eastAsia="zh-CN"/>
        </w:rPr>
      </w:pPr>
      <w:r>
        <w:rPr>
          <w:rFonts w:hint="eastAsia"/>
          <w:color w:val="auto"/>
          <w:sz w:val="21"/>
          <w:szCs w:val="21"/>
          <w:lang w:val="en-US" w:eastAsia="zh-CN"/>
        </w:rPr>
        <w:t>密钥产生：密钥的产生包括为不同的密码系统和不同的应用生成密钥。密钥采用人工产生或加密机产生的方式；</w:t>
      </w:r>
    </w:p>
    <w:p>
      <w:pPr>
        <w:numPr>
          <w:ilvl w:val="0"/>
          <w:numId w:val="18"/>
        </w:numPr>
        <w:spacing w:line="360" w:lineRule="auto"/>
        <w:ind w:left="1260" w:leftChars="0" w:hanging="420" w:firstLineChars="0"/>
        <w:rPr>
          <w:rFonts w:hint="eastAsia"/>
          <w:color w:val="auto"/>
          <w:sz w:val="21"/>
          <w:szCs w:val="21"/>
          <w:lang w:val="en-US" w:eastAsia="zh-CN"/>
        </w:rPr>
      </w:pPr>
      <w:r>
        <w:rPr>
          <w:rFonts w:hint="eastAsia"/>
          <w:color w:val="auto"/>
          <w:sz w:val="21"/>
          <w:szCs w:val="21"/>
          <w:lang w:val="en-US" w:eastAsia="zh-CN"/>
        </w:rPr>
        <w:t>密钥分发：向目标用户分发密钥，包括在收到密钥时如何将之激活。</w:t>
      </w:r>
    </w:p>
    <w:p>
      <w:pPr>
        <w:pStyle w:val="26"/>
        <w:numPr>
          <w:ilvl w:val="0"/>
          <w:numId w:val="17"/>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密钥分发管理应满足如下要求：</w:t>
      </w:r>
    </w:p>
    <w:p>
      <w:pPr>
        <w:numPr>
          <w:ilvl w:val="0"/>
          <w:numId w:val="19"/>
        </w:numPr>
        <w:spacing w:line="360" w:lineRule="auto"/>
        <w:ind w:left="1260" w:leftChars="0" w:hanging="420" w:firstLineChars="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密钥存取：为当前或近期使用的密钥或备份密钥提供安全存储，包括授权用户如何访问密钥；</w:t>
      </w:r>
    </w:p>
    <w:p>
      <w:pPr>
        <w:numPr>
          <w:ilvl w:val="0"/>
          <w:numId w:val="19"/>
        </w:numPr>
        <w:spacing w:line="360" w:lineRule="auto"/>
        <w:ind w:left="1260" w:leftChars="0" w:hanging="420" w:firstLineChars="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密钥更新：</w:t>
      </w:r>
      <w:r>
        <w:rPr>
          <w:rFonts w:hint="eastAsia" w:cs="Times New Roman"/>
          <w:color w:val="auto"/>
          <w:sz w:val="21"/>
          <w:szCs w:val="21"/>
          <w:lang w:val="en-US" w:eastAsia="zh-CN"/>
        </w:rPr>
        <w:t>应制定密钥更新方案，</w:t>
      </w:r>
      <w:r>
        <w:rPr>
          <w:rFonts w:hint="eastAsia" w:ascii="Times New Roman" w:hAnsi="Times New Roman" w:cs="Times New Roman"/>
          <w:color w:val="auto"/>
          <w:sz w:val="21"/>
          <w:szCs w:val="21"/>
          <w:lang w:val="en-US" w:eastAsia="zh-CN"/>
        </w:rPr>
        <w:t>包括密钥变更时机</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变更规则</w:t>
      </w:r>
      <w:r>
        <w:rPr>
          <w:rFonts w:hint="eastAsia" w:cs="Times New Roman"/>
          <w:color w:val="auto"/>
          <w:sz w:val="21"/>
          <w:szCs w:val="21"/>
          <w:lang w:val="en-US" w:eastAsia="zh-CN"/>
        </w:rPr>
        <w:t>以及</w:t>
      </w:r>
      <w:r>
        <w:rPr>
          <w:rFonts w:hint="eastAsia" w:ascii="Times New Roman" w:hAnsi="Times New Roman" w:cs="Times New Roman"/>
          <w:color w:val="auto"/>
          <w:sz w:val="21"/>
          <w:szCs w:val="21"/>
          <w:lang w:val="en-US" w:eastAsia="zh-CN"/>
        </w:rPr>
        <w:t>被泄露的密钥</w:t>
      </w:r>
      <w:r>
        <w:rPr>
          <w:rFonts w:hint="eastAsia" w:cs="Times New Roman"/>
          <w:color w:val="auto"/>
          <w:sz w:val="21"/>
          <w:szCs w:val="21"/>
          <w:lang w:val="en-US" w:eastAsia="zh-CN"/>
        </w:rPr>
        <w:t>的处置方法等</w:t>
      </w:r>
      <w:r>
        <w:rPr>
          <w:rFonts w:hint="eastAsia" w:ascii="Times New Roman" w:hAnsi="Times New Roman" w:cs="Times New Roman"/>
          <w:color w:val="auto"/>
          <w:sz w:val="21"/>
          <w:szCs w:val="21"/>
          <w:lang w:val="en-US" w:eastAsia="zh-CN"/>
        </w:rPr>
        <w:t>；</w:t>
      </w:r>
    </w:p>
    <w:p>
      <w:pPr>
        <w:numPr>
          <w:ilvl w:val="0"/>
          <w:numId w:val="19"/>
        </w:numPr>
        <w:spacing w:line="360" w:lineRule="auto"/>
        <w:ind w:left="1260" w:leftChars="0" w:hanging="420" w:firstLineChars="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密钥备份：</w:t>
      </w:r>
      <w:r>
        <w:rPr>
          <w:rFonts w:hint="eastAsia" w:cs="Times New Roman"/>
          <w:color w:val="auto"/>
          <w:sz w:val="21"/>
          <w:szCs w:val="21"/>
          <w:lang w:val="en-US" w:eastAsia="zh-CN"/>
        </w:rPr>
        <w:t>应对密钥进行备份，</w:t>
      </w:r>
      <w:r>
        <w:rPr>
          <w:rFonts w:hint="eastAsia" w:ascii="Times New Roman" w:hAnsi="Times New Roman" w:cs="Times New Roman"/>
          <w:color w:val="auto"/>
          <w:sz w:val="21"/>
          <w:szCs w:val="21"/>
          <w:lang w:val="en-US" w:eastAsia="zh-CN"/>
        </w:rPr>
        <w:t>防止密钥丢失；</w:t>
      </w:r>
    </w:p>
    <w:p>
      <w:pPr>
        <w:numPr>
          <w:ilvl w:val="0"/>
          <w:numId w:val="19"/>
        </w:numPr>
        <w:spacing w:line="360" w:lineRule="auto"/>
        <w:ind w:left="1260" w:leftChars="0" w:hanging="420" w:firstLine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密钥销毁：需要销毁的密钥包括过期密钥、废除密钥、泄露密钥、被攻破密钥，密钥销毁前，应确认不再需要由此密钥保护的数据信息。</w:t>
      </w:r>
    </w:p>
    <w:p>
      <w:pPr>
        <w:pStyle w:val="28"/>
        <w:bidi w:val="0"/>
        <w:outlineLvl w:val="2"/>
        <w:rPr>
          <w:rFonts w:hint="default"/>
          <w:lang w:val="en-US" w:eastAsia="zh-CN"/>
        </w:rPr>
      </w:pPr>
      <w:bookmarkStart w:id="125" w:name="_Toc30563"/>
      <w:bookmarkStart w:id="126" w:name="_Toc31490"/>
      <w:r>
        <w:rPr>
          <w:rFonts w:hint="eastAsia"/>
          <w:lang w:val="en-US" w:eastAsia="zh-CN"/>
        </w:rPr>
        <w:t>网络可用性管理</w:t>
      </w:r>
      <w:bookmarkEnd w:id="125"/>
      <w:bookmarkEnd w:id="126"/>
    </w:p>
    <w:p>
      <w:pPr>
        <w:rPr>
          <w:rFonts w:hint="default" w:ascii="Times New Roman" w:hAnsi="Times New Roman" w:cs="Times New Roman"/>
          <w:lang w:val="en-US" w:eastAsia="zh-CN"/>
        </w:rPr>
      </w:pPr>
      <w:r>
        <w:rPr>
          <w:rFonts w:hint="eastAsia" w:ascii="Times New Roman" w:hAnsi="Times New Roman" w:cs="Times New Roman"/>
          <w:lang w:val="en-US" w:eastAsia="zh-CN"/>
        </w:rPr>
        <w:t>网络可用性管理应满足如下要求：</w:t>
      </w:r>
    </w:p>
    <w:p>
      <w:pPr>
        <w:pStyle w:val="26"/>
        <w:numPr>
          <w:ilvl w:val="0"/>
          <w:numId w:val="20"/>
        </w:numPr>
        <w:spacing w:line="360" w:lineRule="auto"/>
        <w:ind w:left="840" w:hanging="420" w:firstLineChars="0"/>
        <w:rPr>
          <w:rFonts w:hint="default" w:hAnsi="Times New Roman" w:cs="Times New Roman"/>
          <w:color w:val="auto"/>
          <w:highlight w:val="none"/>
          <w:lang w:val="en-US" w:eastAsia="zh-CN"/>
        </w:rPr>
      </w:pPr>
      <w:r>
        <w:rPr>
          <w:rFonts w:hint="eastAsia" w:hAnsi="Times New Roman" w:cs="Times New Roman"/>
          <w:color w:val="auto"/>
          <w:highlight w:val="none"/>
          <w:lang w:val="en-US" w:eastAsia="zh-CN"/>
        </w:rPr>
        <w:t>应设立</w:t>
      </w:r>
      <w:r>
        <w:rPr>
          <w:rFonts w:hint="default" w:hAnsi="Times New Roman" w:cs="Times New Roman"/>
          <w:color w:val="auto"/>
          <w:highlight w:val="none"/>
          <w:lang w:val="en-US" w:eastAsia="zh-CN"/>
        </w:rPr>
        <w:t>网络可用性管理部门负责网络可用性</w:t>
      </w:r>
      <w:r>
        <w:rPr>
          <w:rFonts w:hint="eastAsia" w:hAnsi="Times New Roman" w:cs="Times New Roman"/>
          <w:color w:val="auto"/>
          <w:highlight w:val="none"/>
          <w:lang w:val="en-US" w:eastAsia="zh-CN"/>
        </w:rPr>
        <w:t>管理</w:t>
      </w:r>
      <w:r>
        <w:rPr>
          <w:rFonts w:hint="default" w:hAnsi="Times New Roman" w:cs="Times New Roman"/>
          <w:color w:val="auto"/>
          <w:highlight w:val="none"/>
          <w:lang w:val="en-US" w:eastAsia="zh-CN"/>
        </w:rPr>
        <w:t>，制定整体的网络可用性管理方案和标准，包括制定可用性的标准数值、故障指标、故障处理方案等，对网络节点、传输链路进行考察，并部署相应设备保障网络可用性、防止出现数据泄露等风险</w:t>
      </w:r>
      <w:r>
        <w:rPr>
          <w:rFonts w:hint="eastAsia" w:hAnsi="Times New Roman" w:cs="Times New Roman"/>
          <w:color w:val="auto"/>
          <w:highlight w:val="none"/>
          <w:lang w:val="en-US" w:eastAsia="zh-CN"/>
        </w:rPr>
        <w:t>。</w:t>
      </w:r>
    </w:p>
    <w:p>
      <w:pPr>
        <w:pStyle w:val="26"/>
        <w:numPr>
          <w:ilvl w:val="0"/>
          <w:numId w:val="20"/>
        </w:numPr>
        <w:spacing w:line="360" w:lineRule="auto"/>
        <w:ind w:left="840" w:hanging="420" w:firstLineChars="0"/>
        <w:rPr>
          <w:rFonts w:hint="default" w:hAnsi="Times New Roman" w:cs="Times New Roman"/>
          <w:color w:val="auto"/>
          <w:highlight w:val="none"/>
          <w:lang w:val="en-US" w:eastAsia="zh-CN"/>
        </w:rPr>
      </w:pPr>
      <w:r>
        <w:rPr>
          <w:rFonts w:hint="default" w:hAnsi="Times New Roman" w:cs="Times New Roman"/>
          <w:color w:val="auto"/>
          <w:highlight w:val="none"/>
          <w:lang w:val="en-US" w:eastAsia="zh-CN"/>
        </w:rPr>
        <w:t>在网络规划设计阶段，</w:t>
      </w:r>
      <w:r>
        <w:rPr>
          <w:rFonts w:hint="eastAsia" w:cs="Times New Roman"/>
          <w:color w:val="auto"/>
          <w:highlight w:val="none"/>
          <w:lang w:val="en-US" w:eastAsia="zh-CN"/>
        </w:rPr>
        <w:t>应</w:t>
      </w:r>
      <w:r>
        <w:rPr>
          <w:rFonts w:hint="default" w:hAnsi="Times New Roman" w:cs="Times New Roman"/>
          <w:color w:val="auto"/>
          <w:highlight w:val="none"/>
          <w:lang w:val="en-US" w:eastAsia="zh-CN"/>
        </w:rPr>
        <w:t>细致分析业务模型，确定基础网络拓扑，对影响网络可用性的关键节点和链路</w:t>
      </w:r>
      <w:r>
        <w:rPr>
          <w:rFonts w:hint="eastAsia" w:cs="Times New Roman"/>
          <w:color w:val="auto"/>
          <w:highlight w:val="none"/>
          <w:lang w:val="en-US" w:eastAsia="zh-CN"/>
        </w:rPr>
        <w:t>应</w:t>
      </w:r>
      <w:r>
        <w:rPr>
          <w:rFonts w:hint="default" w:hAnsi="Times New Roman" w:cs="Times New Roman"/>
          <w:color w:val="auto"/>
          <w:highlight w:val="none"/>
          <w:lang w:val="en-US" w:eastAsia="zh-CN"/>
        </w:rPr>
        <w:t>做充分的冗余设计，并根据网络结构，在各个层次、各个节点部署合适的高可用性技术。</w:t>
      </w:r>
    </w:p>
    <w:p>
      <w:pPr>
        <w:pStyle w:val="26"/>
        <w:numPr>
          <w:ilvl w:val="0"/>
          <w:numId w:val="20"/>
        </w:numPr>
        <w:spacing w:line="360" w:lineRule="auto"/>
        <w:ind w:left="840" w:hanging="420" w:firstLineChars="0"/>
        <w:rPr>
          <w:rFonts w:hint="default" w:hAnsi="Times New Roman" w:cs="Times New Roman"/>
          <w:color w:val="auto"/>
          <w:highlight w:val="none"/>
          <w:lang w:val="en-US" w:eastAsia="zh-CN"/>
        </w:rPr>
      </w:pPr>
      <w:r>
        <w:rPr>
          <w:rFonts w:hint="eastAsia" w:hAnsi="Times New Roman" w:cs="Times New Roman"/>
          <w:color w:val="auto"/>
          <w:highlight w:val="none"/>
          <w:lang w:val="en-US" w:eastAsia="zh-CN"/>
        </w:rPr>
        <w:t>网络配置应遵循如下原则：</w:t>
      </w:r>
    </w:p>
    <w:p>
      <w:pPr>
        <w:numPr>
          <w:ilvl w:val="0"/>
          <w:numId w:val="21"/>
        </w:numPr>
        <w:spacing w:line="360" w:lineRule="auto"/>
        <w:ind w:left="1260" w:leftChars="0" w:hanging="42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层次化：分层次设计网络结构，严格定义各层次的功能；</w:t>
      </w:r>
    </w:p>
    <w:p>
      <w:pPr>
        <w:numPr>
          <w:ilvl w:val="0"/>
          <w:numId w:val="21"/>
        </w:numPr>
        <w:spacing w:line="360" w:lineRule="auto"/>
        <w:ind w:left="1260" w:leftChars="0" w:hanging="42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模块化：根据区域划分拓扑结构；</w:t>
      </w:r>
    </w:p>
    <w:p>
      <w:pPr>
        <w:numPr>
          <w:ilvl w:val="0"/>
          <w:numId w:val="21"/>
        </w:numPr>
        <w:spacing w:line="360" w:lineRule="auto"/>
        <w:ind w:left="1260" w:leftChars="0" w:hanging="42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可扩展：根据业务发展需要，通过简单复制模块单元来拓展网络；</w:t>
      </w:r>
    </w:p>
    <w:p>
      <w:pPr>
        <w:numPr>
          <w:ilvl w:val="0"/>
          <w:numId w:val="21"/>
        </w:numPr>
        <w:spacing w:line="360" w:lineRule="auto"/>
        <w:ind w:left="1260" w:leftChars="0" w:hanging="42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冗余设计：提供设备和链路的冗余保护</w:t>
      </w:r>
      <w:r>
        <w:rPr>
          <w:rFonts w:hint="eastAsia" w:ascii="Times New Roman" w:hAnsi="Times New Roman" w:cs="Times New Roman"/>
          <w:color w:val="auto"/>
          <w:sz w:val="21"/>
          <w:szCs w:val="21"/>
          <w:lang w:val="en-US" w:eastAsia="zh-CN"/>
        </w:rPr>
        <w:t>。</w:t>
      </w:r>
    </w:p>
    <w:p>
      <w:pPr>
        <w:pStyle w:val="26"/>
        <w:numPr>
          <w:ilvl w:val="0"/>
          <w:numId w:val="20"/>
        </w:numPr>
        <w:spacing w:line="360" w:lineRule="auto"/>
        <w:ind w:left="840" w:hanging="420" w:firstLineChars="0"/>
        <w:rPr>
          <w:rFonts w:hint="default" w:hAnsi="Times New Roman" w:cs="Times New Roman"/>
          <w:color w:val="auto"/>
          <w:highlight w:val="none"/>
          <w:lang w:val="en-US" w:eastAsia="zh-CN"/>
        </w:rPr>
      </w:pPr>
      <w:r>
        <w:rPr>
          <w:rFonts w:hint="default" w:hAnsi="Times New Roman" w:cs="Times New Roman"/>
          <w:color w:val="auto"/>
          <w:highlight w:val="none"/>
          <w:lang w:val="en-US" w:eastAsia="zh-CN"/>
        </w:rPr>
        <w:t>在组件或设备选型时，除保证技术指标外，也要有足够高的可靠性指标。</w:t>
      </w:r>
    </w:p>
    <w:p>
      <w:pPr>
        <w:pStyle w:val="26"/>
        <w:numPr>
          <w:ilvl w:val="0"/>
          <w:numId w:val="20"/>
        </w:numPr>
        <w:spacing w:line="360" w:lineRule="auto"/>
        <w:ind w:left="840" w:hanging="420" w:firstLineChars="0"/>
        <w:rPr>
          <w:rFonts w:hint="default" w:hAnsi="Times New Roman" w:cs="Times New Roman"/>
          <w:color w:val="auto"/>
          <w:highlight w:val="none"/>
          <w:lang w:val="en-US" w:eastAsia="zh-CN"/>
        </w:rPr>
      </w:pPr>
      <w:r>
        <w:rPr>
          <w:rFonts w:hint="default" w:hAnsi="Times New Roman" w:cs="Times New Roman"/>
          <w:color w:val="auto"/>
          <w:highlight w:val="none"/>
          <w:lang w:val="en-US" w:eastAsia="zh-CN"/>
        </w:rPr>
        <w:t>持续进行网络维护和优化。利用高效的网络设备管理工具持续监控、分析、预测、优化，最大限度的规避网络拥塞。</w:t>
      </w:r>
    </w:p>
    <w:p>
      <w:pPr>
        <w:pStyle w:val="26"/>
        <w:numPr>
          <w:ilvl w:val="0"/>
          <w:numId w:val="20"/>
        </w:numPr>
        <w:spacing w:line="360" w:lineRule="auto"/>
        <w:ind w:left="840" w:hanging="420" w:firstLineChars="0"/>
        <w:rPr>
          <w:rFonts w:hint="default" w:hAnsi="Times New Roman" w:cs="Times New Roman"/>
          <w:color w:val="auto"/>
          <w:highlight w:val="none"/>
          <w:lang w:val="en-US" w:eastAsia="zh-CN"/>
        </w:rPr>
      </w:pPr>
      <w:r>
        <w:rPr>
          <w:rFonts w:hint="default" w:hAnsi="Times New Roman" w:cs="Times New Roman"/>
          <w:color w:val="auto"/>
          <w:highlight w:val="none"/>
          <w:lang w:val="en-US" w:eastAsia="zh-CN"/>
        </w:rPr>
        <w:t>在进行软硬件版本升级或新设备，新业务上线时，</w:t>
      </w:r>
      <w:r>
        <w:rPr>
          <w:rFonts w:hint="eastAsia" w:cs="Times New Roman"/>
          <w:color w:val="auto"/>
          <w:highlight w:val="none"/>
          <w:lang w:val="en-US" w:eastAsia="zh-CN"/>
        </w:rPr>
        <w:t>应</w:t>
      </w:r>
      <w:r>
        <w:rPr>
          <w:rFonts w:hint="default" w:hAnsi="Times New Roman" w:cs="Times New Roman"/>
          <w:color w:val="auto"/>
          <w:highlight w:val="none"/>
          <w:lang w:val="en-US" w:eastAsia="zh-CN"/>
        </w:rPr>
        <w:t>事先详细规划，制定应急预案。</w:t>
      </w:r>
    </w:p>
    <w:p>
      <w:pPr>
        <w:pStyle w:val="26"/>
        <w:numPr>
          <w:ilvl w:val="0"/>
          <w:numId w:val="20"/>
        </w:numPr>
        <w:spacing w:line="360" w:lineRule="auto"/>
        <w:ind w:left="840" w:hanging="420" w:firstLineChars="0"/>
        <w:rPr>
          <w:rFonts w:hint="default" w:hAnsi="Times New Roman" w:cs="Times New Roman"/>
          <w:color w:val="auto"/>
          <w:highlight w:val="none"/>
          <w:lang w:val="en-US" w:eastAsia="zh-CN"/>
        </w:rPr>
      </w:pPr>
      <w:r>
        <w:rPr>
          <w:rFonts w:hint="default" w:hAnsi="Times New Roman" w:cs="Times New Roman"/>
          <w:color w:val="auto"/>
          <w:highlight w:val="none"/>
          <w:lang w:val="en-US" w:eastAsia="zh-CN"/>
        </w:rPr>
        <w:t>定期对主机系统和网络系统进行安全评估。</w:t>
      </w:r>
    </w:p>
    <w:p>
      <w:pPr>
        <w:pStyle w:val="26"/>
        <w:numPr>
          <w:ilvl w:val="0"/>
          <w:numId w:val="20"/>
        </w:numPr>
        <w:spacing w:line="360" w:lineRule="auto"/>
        <w:ind w:left="840" w:hanging="420" w:firstLineChars="0"/>
        <w:rPr>
          <w:rFonts w:hint="default" w:hAnsi="Times New Roman" w:cs="Times New Roman"/>
          <w:color w:val="auto"/>
          <w:highlight w:val="none"/>
          <w:lang w:val="en-US" w:eastAsia="zh-CN"/>
        </w:rPr>
      </w:pPr>
      <w:r>
        <w:rPr>
          <w:rFonts w:hint="default" w:hAnsi="Times New Roman" w:cs="Times New Roman"/>
          <w:color w:val="auto"/>
          <w:highlight w:val="none"/>
          <w:lang w:val="en-US" w:eastAsia="zh-CN"/>
        </w:rPr>
        <w:t>做好业务系统和网络系统的协调。积极分析业务模型，并适当的进行调整。</w:t>
      </w:r>
    </w:p>
    <w:p>
      <w:pPr>
        <w:pStyle w:val="26"/>
        <w:numPr>
          <w:ilvl w:val="0"/>
          <w:numId w:val="20"/>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设定网络可用性管理部门，负责网络及其组件设备的日常维护以及网络故障的应急工作，全面负责可能出现的各种突发事件处置工作，并协调解决网络故障处置工作中的重大问题。</w:t>
      </w:r>
    </w:p>
    <w:p>
      <w:pPr>
        <w:pStyle w:val="26"/>
        <w:numPr>
          <w:ilvl w:val="0"/>
          <w:numId w:val="20"/>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网络可用性管理部门</w:t>
      </w:r>
      <w:r>
        <w:rPr>
          <w:rFonts w:hint="eastAsia" w:cs="Times New Roman"/>
          <w:color w:val="auto"/>
          <w:highlight w:val="none"/>
          <w:lang w:val="en-US" w:eastAsia="zh-CN"/>
        </w:rPr>
        <w:t>应</w:t>
      </w:r>
      <w:r>
        <w:rPr>
          <w:rFonts w:hint="eastAsia" w:hAnsi="Times New Roman" w:cs="Times New Roman"/>
          <w:color w:val="auto"/>
          <w:highlight w:val="none"/>
          <w:lang w:val="en-US" w:eastAsia="zh-CN"/>
        </w:rPr>
        <w:t>预先对网络故障预警预报体系进行建设，编制网络故障防治规划。</w:t>
      </w:r>
    </w:p>
    <w:p>
      <w:pPr>
        <w:pStyle w:val="26"/>
        <w:numPr>
          <w:ilvl w:val="0"/>
          <w:numId w:val="20"/>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网络可用性管理部门</w:t>
      </w:r>
      <w:r>
        <w:rPr>
          <w:rFonts w:hint="eastAsia" w:cs="Times New Roman"/>
          <w:color w:val="auto"/>
          <w:highlight w:val="none"/>
          <w:lang w:val="en-US" w:eastAsia="zh-CN"/>
        </w:rPr>
        <w:t>应</w:t>
      </w:r>
      <w:r>
        <w:rPr>
          <w:rFonts w:hint="eastAsia" w:hAnsi="Times New Roman" w:cs="Times New Roman"/>
          <w:color w:val="auto"/>
          <w:highlight w:val="none"/>
          <w:lang w:val="en-US" w:eastAsia="zh-CN"/>
        </w:rPr>
        <w:t>加强对网络及各组件的日常监测及其日志保存工作，发现险情时，</w:t>
      </w:r>
      <w:r>
        <w:rPr>
          <w:rFonts w:hint="eastAsia" w:cs="Times New Roman"/>
          <w:color w:val="auto"/>
          <w:highlight w:val="none"/>
          <w:lang w:val="en-US" w:eastAsia="zh-CN"/>
        </w:rPr>
        <w:t>应</w:t>
      </w:r>
      <w:r>
        <w:rPr>
          <w:rFonts w:hint="eastAsia" w:hAnsi="Times New Roman" w:cs="Times New Roman"/>
          <w:color w:val="auto"/>
          <w:highlight w:val="none"/>
          <w:lang w:val="en-US" w:eastAsia="zh-CN"/>
        </w:rPr>
        <w:t>及时向领导小组报告。</w:t>
      </w:r>
    </w:p>
    <w:p>
      <w:pPr>
        <w:pStyle w:val="26"/>
        <w:numPr>
          <w:ilvl w:val="0"/>
          <w:numId w:val="20"/>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网络可用性管理部门</w:t>
      </w:r>
      <w:r>
        <w:rPr>
          <w:rFonts w:hint="eastAsia" w:cs="Times New Roman"/>
          <w:color w:val="auto"/>
          <w:highlight w:val="none"/>
          <w:lang w:val="en-US" w:eastAsia="zh-CN"/>
        </w:rPr>
        <w:t>应</w:t>
      </w:r>
      <w:r>
        <w:rPr>
          <w:rFonts w:hint="eastAsia" w:hAnsi="Times New Roman" w:cs="Times New Roman"/>
          <w:color w:val="auto"/>
          <w:highlight w:val="none"/>
          <w:lang w:val="en-US" w:eastAsia="zh-CN"/>
        </w:rPr>
        <w:t>执行值班制度，以保障最先发现网络故障并及时处置次突发事件。</w:t>
      </w:r>
    </w:p>
    <w:p>
      <w:pPr>
        <w:pStyle w:val="26"/>
        <w:numPr>
          <w:ilvl w:val="0"/>
          <w:numId w:val="20"/>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建立健全网络故障速报制度，保障突发性网络故障信息可立即发布预警</w:t>
      </w:r>
      <w:r>
        <w:rPr>
          <w:rFonts w:hint="eastAsia" w:cs="Times New Roman"/>
          <w:color w:val="auto"/>
          <w:highlight w:val="none"/>
          <w:lang w:val="en-US" w:eastAsia="zh-CN"/>
        </w:rPr>
        <w:t>。</w:t>
      </w:r>
    </w:p>
    <w:p>
      <w:pPr>
        <w:pStyle w:val="26"/>
        <w:numPr>
          <w:ilvl w:val="0"/>
          <w:numId w:val="20"/>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网络故障发生时，立即启动应急预案，采取应急处置程序，判定网络故障级别，并立即向</w:t>
      </w:r>
      <w:r>
        <w:rPr>
          <w:rFonts w:hint="eastAsia" w:cs="Times New Roman"/>
          <w:color w:val="auto"/>
          <w:highlight w:val="none"/>
          <w:lang w:val="en-US" w:eastAsia="zh-CN"/>
        </w:rPr>
        <w:t>网络可用性管理部门</w:t>
      </w:r>
      <w:r>
        <w:rPr>
          <w:rFonts w:hint="eastAsia" w:hAnsi="Times New Roman" w:cs="Times New Roman"/>
          <w:color w:val="auto"/>
          <w:highlight w:val="none"/>
          <w:lang w:val="en-US" w:eastAsia="zh-CN"/>
        </w:rPr>
        <w:t>报告。在网络故障处置过程中，应及时报告网络故障处置工作的进展情况，直至故障修复。</w:t>
      </w:r>
    </w:p>
    <w:p>
      <w:pPr>
        <w:pStyle w:val="26"/>
        <w:numPr>
          <w:ilvl w:val="0"/>
          <w:numId w:val="20"/>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网络故障消除后，由网络可用性管理部门向领导小组宣布网络故障应急期结束，并予以公告，同时预案终止。</w:t>
      </w:r>
    </w:p>
    <w:p>
      <w:pPr>
        <w:pStyle w:val="27"/>
        <w:spacing w:before="312" w:after="312" w:line="360" w:lineRule="auto"/>
        <w:outlineLvl w:val="1"/>
        <w:rPr>
          <w:rFonts w:hint="eastAsia" w:hAnsi="黑体" w:cs="Times New Roman"/>
          <w:color w:val="auto"/>
          <w:highlight w:val="none"/>
          <w:lang w:val="en-US" w:eastAsia="zh-CN"/>
        </w:rPr>
      </w:pPr>
      <w:bookmarkStart w:id="127" w:name="_Toc32680"/>
      <w:bookmarkStart w:id="128" w:name="_Toc7816"/>
      <w:r>
        <w:rPr>
          <w:rFonts w:hint="eastAsia" w:hAnsi="黑体" w:cs="Times New Roman"/>
          <w:color w:val="auto"/>
          <w:highlight w:val="none"/>
          <w:lang w:val="en-US" w:eastAsia="zh-CN"/>
        </w:rPr>
        <w:t>数据存储</w:t>
      </w:r>
      <w:bookmarkEnd w:id="127"/>
      <w:bookmarkEnd w:id="128"/>
    </w:p>
    <w:p>
      <w:pPr>
        <w:pStyle w:val="28"/>
        <w:bidi w:val="0"/>
        <w:outlineLvl w:val="2"/>
        <w:rPr>
          <w:rFonts w:hint="default"/>
          <w:lang w:val="en-US" w:eastAsia="zh-CN"/>
        </w:rPr>
      </w:pPr>
      <w:bookmarkStart w:id="129" w:name="_Toc29463"/>
      <w:bookmarkStart w:id="130" w:name="_Toc23291"/>
      <w:r>
        <w:rPr>
          <w:rFonts w:hint="eastAsia"/>
          <w:lang w:val="en-US" w:eastAsia="zh-CN"/>
        </w:rPr>
        <w:t>物理存储安全</w:t>
      </w:r>
      <w:bookmarkEnd w:id="129"/>
      <w:bookmarkEnd w:id="130"/>
    </w:p>
    <w:p>
      <w:pPr>
        <w:rPr>
          <w:rFonts w:hint="default" w:cs="Times New Roman"/>
          <w:lang w:val="en-US" w:eastAsia="zh-CN"/>
        </w:rPr>
      </w:pPr>
      <w:r>
        <w:rPr>
          <w:rFonts w:hint="eastAsia" w:cs="Times New Roman"/>
          <w:lang w:val="en-US" w:eastAsia="zh-CN"/>
        </w:rPr>
        <w:t>工业数据的物理存储应满足如下要求：</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存储介质由存储介质安全管理部门进行统一采购，选择可靠的品牌，并遵循申报、审批、采购、标识、入账的流程，采购中应进行防病毒等安全性检测，在确保安全的情况下入账</w:t>
      </w:r>
      <w:r>
        <w:rPr>
          <w:rFonts w:hint="eastAsia" w:cs="Times New Roman"/>
          <w:color w:val="auto"/>
          <w:highlight w:val="none"/>
          <w:lang w:val="en-US" w:eastAsia="zh-CN"/>
        </w:rPr>
        <w:t>；</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数据存储介质由存储介质安全管理部门进行统一管理；</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存储介质的存放环境应有防火、防盗、防水、防尘、防震、防腐蚀及防静电等措施，防止其被盗、被毁、被未授权修改以及其信息的非法泄露，对于磁带、磁盘等带有磁性的介质应注意其保存环境，保证其长期有效；</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根据数据的容量和重要性合理选择数据存储介质；</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数据存储介质必须具有明确的分类标识，标识须包括存储数据的内容、归属、大小、存储期限、保密程度等，并结合数据类型和管理策略统一命名，存储介质的标识必须醒目；</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建立数据存储介质保管清单，由存储介质安全管理部门定期根据保管清单对介质的使用现状进行检查，检查内容包括完整性（数据是否损坏或丢失）和可用性（介质是否受到物理破坏），任何存储介质盘点出现差异时，必须及时报告给上级领导部门；</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存储介质在运输过程中，必须采取密封处理；</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应选取可靠的速递公司承担介质的传递工作，介质传递时间、安全保障（防火、防震、防潮、防磁、防盗）等方面的要求应在与速递公司的合同中加以约定。速递公司的资质、介质传递流程、速递合同须经存储介质安全管理部门批准；</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当存有敏感业务信息的介质进行异地传输时，应选择本单位可靠人员进行传递，并且使用专用安全箱包进行包装；</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移动存储介质的接收应履行登记、入账等手续，存储介质安全管理部门需对存储介质的运输过程进行详细记录；</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新启用的存储介质或使用移动存储介质时，</w:t>
      </w:r>
      <w:r>
        <w:rPr>
          <w:rFonts w:hint="eastAsia" w:cs="Times New Roman"/>
          <w:color w:val="auto"/>
          <w:highlight w:val="none"/>
          <w:lang w:val="en-US" w:eastAsia="zh-CN"/>
        </w:rPr>
        <w:t>应</w:t>
      </w:r>
      <w:r>
        <w:rPr>
          <w:rFonts w:hint="eastAsia" w:hAnsi="Times New Roman" w:cs="Times New Roman"/>
          <w:color w:val="auto"/>
          <w:highlight w:val="none"/>
          <w:lang w:val="en-US" w:eastAsia="zh-CN"/>
        </w:rPr>
        <w:t>进行安全检查和查杀病毒处理；</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存储介质的使用需在受控的办公场所的指定计算机上进行；</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非本单位的移动存储介质</w:t>
      </w:r>
      <w:r>
        <w:rPr>
          <w:rFonts w:hint="eastAsia" w:cs="Times New Roman"/>
          <w:color w:val="auto"/>
          <w:highlight w:val="none"/>
          <w:lang w:val="en-US" w:eastAsia="zh-CN"/>
        </w:rPr>
        <w:t>不应</w:t>
      </w:r>
      <w:r>
        <w:rPr>
          <w:rFonts w:hint="eastAsia" w:hAnsi="Times New Roman" w:cs="Times New Roman"/>
          <w:color w:val="auto"/>
          <w:highlight w:val="none"/>
          <w:lang w:val="en-US" w:eastAsia="zh-CN"/>
        </w:rPr>
        <w:t>和涉密计算机连接；</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cs="Times New Roman"/>
          <w:color w:val="auto"/>
          <w:highlight w:val="none"/>
          <w:lang w:val="en-US" w:eastAsia="zh-CN"/>
        </w:rPr>
        <w:t>不应</w:t>
      </w:r>
      <w:r>
        <w:rPr>
          <w:rFonts w:hint="eastAsia" w:hAnsi="Times New Roman" w:cs="Times New Roman"/>
          <w:color w:val="auto"/>
          <w:highlight w:val="none"/>
          <w:lang w:val="en-US" w:eastAsia="zh-CN"/>
        </w:rPr>
        <w:t>在高温、强磁场的环境下使用存储介质；</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涉密和非涉密的存储介质</w:t>
      </w:r>
      <w:r>
        <w:rPr>
          <w:rFonts w:hint="eastAsia" w:cs="Times New Roman"/>
          <w:color w:val="auto"/>
          <w:highlight w:val="none"/>
          <w:lang w:val="en-US" w:eastAsia="zh-CN"/>
        </w:rPr>
        <w:t>不应</w:t>
      </w:r>
      <w:r>
        <w:rPr>
          <w:rFonts w:hint="eastAsia" w:hAnsi="Times New Roman" w:cs="Times New Roman"/>
          <w:color w:val="auto"/>
          <w:highlight w:val="none"/>
          <w:lang w:val="en-US" w:eastAsia="zh-CN"/>
        </w:rPr>
        <w:t>交叉使用；</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因公务需要携带存储介质外出时，</w:t>
      </w:r>
      <w:r>
        <w:rPr>
          <w:rFonts w:hint="eastAsia" w:cs="Times New Roman"/>
          <w:color w:val="auto"/>
          <w:highlight w:val="none"/>
          <w:lang w:val="en-US" w:eastAsia="zh-CN"/>
        </w:rPr>
        <w:t>应</w:t>
      </w:r>
      <w:r>
        <w:rPr>
          <w:rFonts w:hint="eastAsia" w:hAnsi="Times New Roman" w:cs="Times New Roman"/>
          <w:color w:val="auto"/>
          <w:highlight w:val="none"/>
          <w:lang w:val="en-US" w:eastAsia="zh-CN"/>
        </w:rPr>
        <w:t>经存储介质安全管理部门审批同意并登记；</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如使用移动介质转移存储敏感数据，</w:t>
      </w:r>
      <w:r>
        <w:rPr>
          <w:rFonts w:hint="eastAsia" w:cs="Times New Roman"/>
          <w:color w:val="auto"/>
          <w:highlight w:val="none"/>
          <w:lang w:val="en-US" w:eastAsia="zh-CN"/>
        </w:rPr>
        <w:t>应</w:t>
      </w:r>
      <w:r>
        <w:rPr>
          <w:rFonts w:hint="eastAsia" w:hAnsi="Times New Roman" w:cs="Times New Roman"/>
          <w:color w:val="auto"/>
          <w:highlight w:val="none"/>
          <w:lang w:val="en-US" w:eastAsia="zh-CN"/>
        </w:rPr>
        <w:t>在使用前格式化，并在使用后立即删除敏感数据；</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复制移动存储介质中的信息应经过存储介质安全管理部门批准并履行登记手续，复制件应视同原件进行管理，复制移动存储介质中的信息时，不得改变其知悉范围，并由存储介质安全管理部门进行监督</w:t>
      </w:r>
      <w:r>
        <w:rPr>
          <w:rFonts w:hint="eastAsia" w:cs="Times New Roman"/>
          <w:color w:val="auto"/>
          <w:highlight w:val="none"/>
          <w:lang w:val="en-US" w:eastAsia="zh-CN"/>
        </w:rPr>
        <w:t>；</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移动存储介质需要送外维修时，应经过存储介质安全管理部门审批，对送出维修的介质应首先清除介质中的敏感数据，必须到存储介质安全管理部门制定的单位进行维修，由存储介质安全管理部门全程陪同监督；</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存储介质的维修由存储介质安全管理部门负责，并对维修人员、维修对象、维修内容、维修前后状况进行监督和记录；</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为防止敏感信息泄露给未经授权的人员，各部门应将需要废弃的存储介质送到存储介质安全管理部门，由存储介质安全管理部门统一进行安全销毁，存储介质销毁应经过存储介质安全管理部门审批，不得自行销毁</w:t>
      </w:r>
      <w:r>
        <w:rPr>
          <w:rFonts w:hint="eastAsia" w:cs="Times New Roman"/>
          <w:color w:val="auto"/>
          <w:highlight w:val="none"/>
          <w:lang w:val="en-US" w:eastAsia="zh-CN"/>
        </w:rPr>
        <w:t>；</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存储介质销毁前，存储介质安全管理部门须对所含信息进行风险评估</w:t>
      </w:r>
      <w:r>
        <w:rPr>
          <w:rFonts w:hint="eastAsia" w:cs="Times New Roman"/>
          <w:color w:val="auto"/>
          <w:highlight w:val="none"/>
          <w:lang w:val="en-US" w:eastAsia="zh-CN"/>
        </w:rPr>
        <w:t>；</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任何含有敏感信息的中间存储介质，都需要销毁其中的信息，任何存储介质不再用于存储保密信息之前，必须进行格式化，存储介质上删除敏感的信息后，必须执行重复写操作防止数据恢复</w:t>
      </w:r>
      <w:r>
        <w:rPr>
          <w:rFonts w:hint="eastAsia" w:cs="Times New Roman"/>
          <w:color w:val="auto"/>
          <w:highlight w:val="none"/>
          <w:lang w:val="en-US" w:eastAsia="zh-CN"/>
        </w:rPr>
        <w:t>；</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cs="Times New Roman"/>
          <w:color w:val="auto"/>
          <w:highlight w:val="none"/>
          <w:lang w:val="en-US" w:eastAsia="zh-CN"/>
        </w:rPr>
        <w:t>应采用粉碎或烧毁的方式对</w:t>
      </w:r>
      <w:r>
        <w:rPr>
          <w:rFonts w:hint="eastAsia" w:hAnsi="Times New Roman" w:cs="Times New Roman"/>
          <w:color w:val="auto"/>
          <w:highlight w:val="none"/>
          <w:lang w:val="en-US" w:eastAsia="zh-CN"/>
        </w:rPr>
        <w:t>含有硬拷贝形式的敏感信息存储介质</w:t>
      </w:r>
      <w:r>
        <w:rPr>
          <w:rFonts w:hint="eastAsia" w:cs="Times New Roman"/>
          <w:color w:val="auto"/>
          <w:highlight w:val="none"/>
          <w:lang w:val="en-US" w:eastAsia="zh-CN"/>
        </w:rPr>
        <w:t>进行</w:t>
      </w:r>
      <w:r>
        <w:rPr>
          <w:rFonts w:hint="eastAsia" w:hAnsi="Times New Roman" w:cs="Times New Roman"/>
          <w:color w:val="auto"/>
          <w:highlight w:val="none"/>
          <w:lang w:val="en-US" w:eastAsia="zh-CN"/>
        </w:rPr>
        <w:t>报废处理</w:t>
      </w:r>
      <w:r>
        <w:rPr>
          <w:rFonts w:hint="eastAsia" w:cs="Times New Roman"/>
          <w:color w:val="auto"/>
          <w:highlight w:val="none"/>
          <w:lang w:val="en-US" w:eastAsia="zh-CN"/>
        </w:rPr>
        <w:t>；</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存储介质安全管理部门需对存储介质的处置做记录、以备审查</w:t>
      </w:r>
      <w:r>
        <w:rPr>
          <w:rFonts w:hint="eastAsia" w:cs="Times New Roman"/>
          <w:color w:val="auto"/>
          <w:highlight w:val="none"/>
          <w:lang w:val="en-US" w:eastAsia="zh-CN"/>
        </w:rPr>
        <w:t>；</w:t>
      </w:r>
    </w:p>
    <w:p>
      <w:pPr>
        <w:pStyle w:val="26"/>
        <w:numPr>
          <w:ilvl w:val="0"/>
          <w:numId w:val="22"/>
        </w:numPr>
        <w:spacing w:line="360" w:lineRule="auto"/>
        <w:ind w:left="840" w:hanging="420" w:firstLineChars="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被销毁介质上的备份内容如果未到备份保存期限，</w:t>
      </w:r>
      <w:r>
        <w:rPr>
          <w:rFonts w:hint="eastAsia" w:cs="Times New Roman"/>
          <w:color w:val="auto"/>
          <w:highlight w:val="none"/>
          <w:lang w:val="en-US" w:eastAsia="zh-CN"/>
        </w:rPr>
        <w:t>应</w:t>
      </w:r>
      <w:r>
        <w:rPr>
          <w:rFonts w:hint="eastAsia" w:hAnsi="Times New Roman" w:cs="Times New Roman"/>
          <w:color w:val="auto"/>
          <w:highlight w:val="none"/>
          <w:lang w:val="en-US" w:eastAsia="zh-CN"/>
        </w:rPr>
        <w:t>将备份内容复制到较新的介质上，并将复制后的介质归档。</w:t>
      </w:r>
    </w:p>
    <w:p>
      <w:pPr>
        <w:pStyle w:val="28"/>
        <w:bidi w:val="0"/>
        <w:outlineLvl w:val="2"/>
        <w:rPr>
          <w:rFonts w:hint="default"/>
          <w:lang w:val="en-US" w:eastAsia="zh-CN"/>
        </w:rPr>
      </w:pPr>
      <w:bookmarkStart w:id="131" w:name="_Toc25519"/>
      <w:bookmarkStart w:id="132" w:name="_Toc11230"/>
      <w:r>
        <w:rPr>
          <w:rFonts w:hint="eastAsia"/>
          <w:lang w:val="en-US" w:eastAsia="zh-CN"/>
        </w:rPr>
        <w:t>逻辑存储安全</w:t>
      </w:r>
      <w:bookmarkEnd w:id="131"/>
      <w:bookmarkEnd w:id="132"/>
    </w:p>
    <w:p>
      <w:pPr>
        <w:rPr>
          <w:rFonts w:hint="default"/>
          <w:lang w:val="en-US" w:eastAsia="zh-CN"/>
        </w:rPr>
      </w:pPr>
      <w:r>
        <w:rPr>
          <w:rFonts w:hint="eastAsia" w:cs="Times New Roman"/>
          <w:lang w:val="en-US" w:eastAsia="zh-CN"/>
        </w:rPr>
        <w:t>工业数据的逻辑存储应满足如下要求：</w:t>
      </w:r>
    </w:p>
    <w:p>
      <w:pPr>
        <w:pStyle w:val="26"/>
        <w:numPr>
          <w:ilvl w:val="0"/>
          <w:numId w:val="23"/>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设立数据逻辑存储安全管理部门负责管理整体的数据逻辑，制定数据逻辑安全存储管理制度，建立数据逻辑存储隔离与授权操作标准等，包含认证授权、账号管理、权限管理、日志管理、加密管理、版本管理、安全配置、数据隔离等要求点，搭建整体的数据逻辑存储系统，维护数据逻辑存储系统和存储设备</w:t>
      </w:r>
      <w:r>
        <w:rPr>
          <w:rFonts w:hint="eastAsia" w:cs="Times New Roman"/>
          <w:lang w:val="en-US" w:eastAsia="zh-CN"/>
        </w:rPr>
        <w:t>；</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普通账号</w:t>
      </w:r>
      <w:r>
        <w:rPr>
          <w:rFonts w:hint="eastAsia" w:cs="Times New Roman"/>
          <w:lang w:val="en-US" w:eastAsia="zh-CN"/>
        </w:rPr>
        <w:t>应</w:t>
      </w:r>
      <w:r>
        <w:rPr>
          <w:rFonts w:hint="eastAsia" w:hAnsi="Times New Roman" w:cs="Times New Roman"/>
          <w:lang w:val="en-US" w:eastAsia="zh-CN"/>
        </w:rPr>
        <w:t>使用同一而规范的申请表提出用户账号创建、修改、删除、禁用等申请；</w:t>
      </w:r>
    </w:p>
    <w:p>
      <w:pPr>
        <w:pStyle w:val="26"/>
        <w:numPr>
          <w:ilvl w:val="0"/>
          <w:numId w:val="23"/>
        </w:numPr>
        <w:spacing w:line="360" w:lineRule="auto"/>
        <w:ind w:left="840" w:hanging="420" w:firstLineChars="0"/>
        <w:rPr>
          <w:rFonts w:hint="eastAsia" w:cs="Times New Roman"/>
          <w:lang w:val="en-US" w:eastAsia="zh-CN"/>
        </w:rPr>
      </w:pPr>
      <w:r>
        <w:rPr>
          <w:rFonts w:hint="eastAsia" w:hAnsi="Times New Roman" w:cs="Times New Roman"/>
          <w:lang w:val="en-US" w:eastAsia="zh-CN"/>
        </w:rPr>
        <w:t>在受理申请时，逻辑存储管理部门根据申请配置权限，在系统条件具备的情况下，给</w:t>
      </w:r>
      <w:r>
        <w:rPr>
          <w:rFonts w:hint="eastAsia" w:cs="Times New Roman"/>
          <w:lang w:val="en-US" w:eastAsia="zh-CN"/>
        </w:rPr>
        <w:t>用户分配独有的用户账号和权限。用户不得使用他人账号或者允许他人使用自己的账号；</w:t>
      </w:r>
    </w:p>
    <w:p>
      <w:pPr>
        <w:pStyle w:val="26"/>
        <w:numPr>
          <w:ilvl w:val="0"/>
          <w:numId w:val="23"/>
        </w:numPr>
        <w:spacing w:line="360" w:lineRule="auto"/>
        <w:ind w:left="840" w:hanging="420" w:firstLineChars="0"/>
        <w:rPr>
          <w:rFonts w:hint="eastAsia" w:cs="Times New Roman"/>
          <w:lang w:val="en-US" w:eastAsia="zh-CN"/>
        </w:rPr>
      </w:pPr>
      <w:r>
        <w:rPr>
          <w:rFonts w:hint="eastAsia" w:cs="Times New Roman"/>
          <w:lang w:val="en-US" w:eastAsia="zh-CN"/>
        </w:rPr>
        <w:t>当用户岗位和权限发生变化时，应主动申请所需逻辑存储系统过的账号和权限；</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只有经逻辑存储安全管理部门授权的用户才可以使用特权账号和超级用户账号，严禁共享账号；</w:t>
      </w:r>
    </w:p>
    <w:p>
      <w:pPr>
        <w:pStyle w:val="26"/>
        <w:numPr>
          <w:ilvl w:val="-1"/>
          <w:numId w:val="0"/>
        </w:numPr>
        <w:tabs>
          <w:tab w:val="left" w:pos="0"/>
        </w:tabs>
        <w:spacing w:line="360" w:lineRule="auto"/>
        <w:ind w:left="420" w:firstLine="0" w:firstLineChars="0"/>
        <w:rPr>
          <w:rFonts w:hint="eastAsia" w:hAnsi="Times New Roman" w:cs="Times New Roman"/>
          <w:sz w:val="18"/>
          <w:szCs w:val="18"/>
          <w:lang w:val="en-US" w:eastAsia="zh-CN"/>
        </w:rPr>
      </w:pPr>
      <w:r>
        <w:rPr>
          <w:rFonts w:hint="eastAsia" w:ascii="黑体" w:hAnsi="黑体" w:eastAsia="黑体" w:cs="黑体"/>
          <w:sz w:val="18"/>
          <w:szCs w:val="18"/>
          <w:lang w:val="en-US" w:eastAsia="zh-CN"/>
        </w:rPr>
        <w:t>注：</w:t>
      </w:r>
      <w:r>
        <w:rPr>
          <w:rFonts w:hint="eastAsia"/>
          <w:sz w:val="18"/>
          <w:szCs w:val="18"/>
        </w:rPr>
        <w:t>特权账号指在系统中有专用权限的账号，如备份账号、权限管理账号、系统维护账号等。超级用户账号指系统中最高权限账号，如administrator、root等管理员账号</w:t>
      </w:r>
      <w:r>
        <w:rPr>
          <w:rFonts w:hint="eastAsia"/>
          <w:sz w:val="18"/>
          <w:szCs w:val="18"/>
          <w:lang w:eastAsia="zh-CN"/>
        </w:rPr>
        <w:t>。</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逻辑存储安全管理部门需监督特权账号和超级用户账号的使用情况并记录；</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尽量避免特权账号和超级用户账号的临时使用，确需使用时必须提交申请及审批流程；临时使用超级用户账号必须有逻辑存储安全管理部门在场监督，并记录其工作内容；超级用户账号临时使用完毕后，逻辑存储安全管理部门需立即更改账号密码；</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应按照用户角色分配不同的权限的账号，删除或锁定可能无用的账户；</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用户账号口令的发放</w:t>
      </w:r>
      <w:r>
        <w:rPr>
          <w:rFonts w:hint="eastAsia" w:cs="Times New Roman"/>
          <w:lang w:val="en-US" w:eastAsia="zh-CN"/>
        </w:rPr>
        <w:t>应</w:t>
      </w:r>
      <w:r>
        <w:rPr>
          <w:rFonts w:hint="eastAsia" w:hAnsi="Times New Roman" w:cs="Times New Roman"/>
          <w:lang w:val="en-US" w:eastAsia="zh-CN"/>
        </w:rPr>
        <w:t>严格保密，用户</w:t>
      </w:r>
      <w:r>
        <w:rPr>
          <w:rFonts w:hint="eastAsia" w:cs="Times New Roman"/>
          <w:lang w:val="en-US" w:eastAsia="zh-CN"/>
        </w:rPr>
        <w:t>应</w:t>
      </w:r>
      <w:r>
        <w:rPr>
          <w:rFonts w:hint="eastAsia" w:hAnsi="Times New Roman" w:cs="Times New Roman"/>
          <w:lang w:val="en-US" w:eastAsia="zh-CN"/>
        </w:rPr>
        <w:t>及时更改初始口令，账号口令最小长度为6位，并</w:t>
      </w:r>
      <w:r>
        <w:rPr>
          <w:rFonts w:hint="eastAsia" w:cs="Times New Roman"/>
          <w:lang w:val="en-US" w:eastAsia="zh-CN"/>
        </w:rPr>
        <w:t>应</w:t>
      </w:r>
      <w:r>
        <w:rPr>
          <w:rFonts w:hint="eastAsia" w:hAnsi="Times New Roman" w:cs="Times New Roman"/>
          <w:lang w:val="en-US" w:eastAsia="zh-CN"/>
        </w:rPr>
        <w:t>具有一定的复杂度，账号口令</w:t>
      </w:r>
      <w:r>
        <w:rPr>
          <w:rFonts w:hint="eastAsia" w:cs="Times New Roman"/>
          <w:lang w:val="en-US" w:eastAsia="zh-CN"/>
        </w:rPr>
        <w:t>应</w:t>
      </w:r>
      <w:r>
        <w:rPr>
          <w:rFonts w:hint="eastAsia" w:hAnsi="Times New Roman" w:cs="Times New Roman"/>
          <w:lang w:val="en-US" w:eastAsia="zh-CN"/>
        </w:rPr>
        <w:t>定期更改，账号口令的更新周期不得超过90天，</w:t>
      </w:r>
      <w:r>
        <w:rPr>
          <w:rFonts w:hint="eastAsia" w:cs="Times New Roman"/>
          <w:lang w:val="en-US" w:eastAsia="zh-CN"/>
        </w:rPr>
        <w:t>不应</w:t>
      </w:r>
      <w:r>
        <w:rPr>
          <w:rFonts w:hint="eastAsia" w:hAnsi="Times New Roman" w:cs="Times New Roman"/>
          <w:lang w:val="en-US" w:eastAsia="zh-CN"/>
        </w:rPr>
        <w:t>共享个人用户账号口令，超级用户账号需通过保密形式由逻辑存储安全管理部门留存一份；</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逻辑存储管理部门</w:t>
      </w:r>
      <w:r>
        <w:rPr>
          <w:rFonts w:hint="eastAsia" w:cs="Times New Roman"/>
          <w:lang w:val="en-US" w:eastAsia="zh-CN"/>
        </w:rPr>
        <w:t>应</w:t>
      </w:r>
      <w:r>
        <w:rPr>
          <w:rFonts w:hint="eastAsia" w:hAnsi="Times New Roman" w:cs="Times New Roman"/>
          <w:lang w:val="en-US" w:eastAsia="zh-CN"/>
        </w:rPr>
        <w:t>建立逻辑存储系统账号及权限的文档记录，记录用户账号和相关信息，并在账号变动时及时更新记录；</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员工离职后，逻辑存储管理部门</w:t>
      </w:r>
      <w:r>
        <w:rPr>
          <w:rFonts w:hint="eastAsia" w:cs="Times New Roman"/>
          <w:lang w:val="en-US" w:eastAsia="zh-CN"/>
        </w:rPr>
        <w:t>应</w:t>
      </w:r>
      <w:r>
        <w:rPr>
          <w:rFonts w:hint="eastAsia" w:hAnsi="Times New Roman" w:cs="Times New Roman"/>
          <w:lang w:val="en-US" w:eastAsia="zh-CN"/>
        </w:rPr>
        <w:t>及时禁用或删除离职人员所使用的账号，如果离职人员是系统管理员，则及时更改特权账号或超级用户口令</w:t>
      </w:r>
      <w:r>
        <w:rPr>
          <w:rFonts w:hint="eastAsia" w:cs="Times New Roman"/>
          <w:lang w:val="en-US" w:eastAsia="zh-CN"/>
        </w:rPr>
        <w:t>；</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逻辑存储安全管理部门</w:t>
      </w:r>
      <w:r>
        <w:rPr>
          <w:rFonts w:hint="eastAsia" w:cs="Times New Roman"/>
          <w:lang w:val="en-US" w:eastAsia="zh-CN"/>
        </w:rPr>
        <w:t>应</w:t>
      </w:r>
      <w:r>
        <w:rPr>
          <w:rFonts w:hint="eastAsia" w:hAnsi="Times New Roman" w:cs="Times New Roman"/>
          <w:lang w:val="en-US" w:eastAsia="zh-CN"/>
        </w:rPr>
        <w:t>制定逻辑存储系统的访问规则；</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应保证在进入逻辑存储系统前必须执行登录操作，并且记录登录成功与失败的日志；</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逻辑存储系统的管理员</w:t>
      </w:r>
      <w:r>
        <w:rPr>
          <w:rFonts w:hint="eastAsia" w:cs="Times New Roman"/>
          <w:lang w:val="en-US" w:eastAsia="zh-CN"/>
        </w:rPr>
        <w:t>应</w:t>
      </w:r>
      <w:r>
        <w:rPr>
          <w:rFonts w:hint="eastAsia" w:hAnsi="Times New Roman" w:cs="Times New Roman"/>
          <w:lang w:val="en-US" w:eastAsia="zh-CN"/>
        </w:rPr>
        <w:t>确保用户的权限被限定在许可的范围内，同时能够访问到有权访问的信息；</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访问控制权限设置的基本规则是除明确允许执行的情况外，其余必须禁止，访问控制的规则和权限应结合实际情况，并记录在案；</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逻辑存储安全管理部门应具备较强的病毒防范意识，定期进行病毒检测，发现病毒立即处理并通知上级领导部门或专职人员，采用国家许可的正版防病毒软件并及时更新软件版本，逻辑存储系统应及时升级或安装安全补丁，弥补系统漏洞；</w:t>
      </w:r>
      <w:r>
        <w:rPr>
          <w:rFonts w:hint="eastAsia" w:cs="Times New Roman"/>
          <w:lang w:val="en-US" w:eastAsia="zh-CN"/>
        </w:rPr>
        <w:t>应</w:t>
      </w:r>
      <w:r>
        <w:rPr>
          <w:rFonts w:hint="eastAsia" w:hAnsi="Times New Roman" w:cs="Times New Roman"/>
          <w:lang w:val="en-US" w:eastAsia="zh-CN"/>
        </w:rPr>
        <w:t>为逻辑存储服务器做好病毒及木马的实时监测，及时升级病毒库；</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未经逻辑安全管理部门许可，不</w:t>
      </w:r>
      <w:r>
        <w:rPr>
          <w:rFonts w:hint="eastAsia" w:cs="Times New Roman"/>
          <w:lang w:val="en-US" w:eastAsia="zh-CN"/>
        </w:rPr>
        <w:t>应</w:t>
      </w:r>
      <w:r>
        <w:rPr>
          <w:rFonts w:hint="eastAsia" w:hAnsi="Times New Roman" w:cs="Times New Roman"/>
          <w:lang w:val="en-US" w:eastAsia="zh-CN"/>
        </w:rPr>
        <w:t>在逻辑存储系统上安装新软件</w:t>
      </w:r>
      <w:r>
        <w:rPr>
          <w:rFonts w:hint="eastAsia" w:cs="Times New Roman"/>
          <w:lang w:val="en-US" w:eastAsia="zh-CN"/>
        </w:rPr>
        <w:t>；</w:t>
      </w:r>
      <w:r>
        <w:rPr>
          <w:rFonts w:hint="eastAsia" w:hAnsi="Times New Roman" w:cs="Times New Roman"/>
          <w:lang w:val="en-US" w:eastAsia="zh-CN"/>
        </w:rPr>
        <w:t>若确为需要安装，安装前应进行病毒检查</w:t>
      </w:r>
      <w:r>
        <w:rPr>
          <w:rFonts w:hint="eastAsia" w:cs="Times New Roman"/>
          <w:lang w:val="en-US" w:eastAsia="zh-CN"/>
        </w:rPr>
        <w:t>；</w:t>
      </w:r>
      <w:r>
        <w:rPr>
          <w:rFonts w:hint="eastAsia" w:hAnsi="Times New Roman" w:cs="Times New Roman"/>
          <w:lang w:val="en-US" w:eastAsia="zh-CN"/>
        </w:rPr>
        <w:t>经远程通信传送的程序或数据，必须经过检测确认无病毒后方可使用；</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定期</w:t>
      </w:r>
      <w:r>
        <w:rPr>
          <w:rFonts w:hint="eastAsia" w:cs="Times New Roman"/>
          <w:lang w:val="en-US" w:eastAsia="zh-CN"/>
        </w:rPr>
        <w:t>对</w:t>
      </w:r>
      <w:r>
        <w:rPr>
          <w:rFonts w:hint="eastAsia" w:hAnsi="Times New Roman" w:cs="Times New Roman"/>
          <w:lang w:val="en-US" w:eastAsia="zh-CN"/>
        </w:rPr>
        <w:t>逻辑存储系统上的安全日志进行检查，对错误、异常、警告等日志进行分析判断，并将</w:t>
      </w:r>
      <w:r>
        <w:rPr>
          <w:rFonts w:hint="eastAsia" w:cs="Times New Roman"/>
          <w:lang w:val="en-US" w:eastAsia="zh-CN"/>
        </w:rPr>
        <w:t>判断</w:t>
      </w:r>
      <w:r>
        <w:rPr>
          <w:rFonts w:hint="eastAsia" w:hAnsi="Times New Roman" w:cs="Times New Roman"/>
          <w:lang w:val="en-US" w:eastAsia="zh-CN"/>
        </w:rPr>
        <w:t>结果进行有效解决处理并记录存档；逻辑存储系统上的日志</w:t>
      </w:r>
      <w:r>
        <w:rPr>
          <w:rFonts w:hint="eastAsia" w:cs="Times New Roman"/>
          <w:lang w:val="en-US" w:eastAsia="zh-CN"/>
        </w:rPr>
        <w:t>应</w:t>
      </w:r>
      <w:r>
        <w:rPr>
          <w:rFonts w:hint="eastAsia" w:hAnsi="Times New Roman" w:cs="Times New Roman"/>
          <w:lang w:val="en-US" w:eastAsia="zh-CN"/>
        </w:rPr>
        <w:t>定期备份；</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逻辑存储安全管理部门应定期检查</w:t>
      </w:r>
      <w:r>
        <w:rPr>
          <w:rFonts w:hint="eastAsia" w:cs="Times New Roman"/>
          <w:lang w:val="en-US" w:eastAsia="zh-CN"/>
        </w:rPr>
        <w:t>并记录</w:t>
      </w:r>
      <w:r>
        <w:rPr>
          <w:rFonts w:hint="eastAsia" w:hAnsi="Times New Roman" w:cs="Times New Roman"/>
          <w:lang w:val="en-US" w:eastAsia="zh-CN"/>
        </w:rPr>
        <w:t>逻辑存储系统的存储情况，如果发现存储容量超过70%，应及时删除不必要的数据，必要时申报新的存储；</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当逻辑存储系统出现故障时，由逻辑存储安全管理部门督促和配合厂商工作人员尽快维修，并对故障现象及解决全过程进行详细记录；</w:t>
      </w:r>
    </w:p>
    <w:p>
      <w:pPr>
        <w:pStyle w:val="26"/>
        <w:numPr>
          <w:ilvl w:val="-1"/>
          <w:numId w:val="0"/>
        </w:numPr>
        <w:tabs>
          <w:tab w:val="left" w:pos="0"/>
        </w:tabs>
        <w:spacing w:line="360" w:lineRule="auto"/>
        <w:ind w:left="420" w:firstLine="0" w:firstLineChars="0"/>
        <w:rPr>
          <w:rFonts w:hint="eastAsia" w:hAnsi="Times New Roman" w:eastAsia="宋体" w:cs="Times New Roman"/>
          <w:sz w:val="18"/>
          <w:szCs w:val="18"/>
          <w:lang w:val="en-US" w:eastAsia="zh-CN"/>
        </w:rPr>
      </w:pPr>
      <w:r>
        <w:rPr>
          <w:rFonts w:hint="eastAsia" w:ascii="黑体" w:hAnsi="黑体" w:eastAsia="黑体" w:cs="黑体"/>
          <w:sz w:val="18"/>
          <w:szCs w:val="18"/>
          <w:lang w:val="en-US" w:eastAsia="zh-CN"/>
        </w:rPr>
        <w:t>注：</w:t>
      </w:r>
      <w:r>
        <w:rPr>
          <w:rFonts w:hint="eastAsia"/>
          <w:sz w:val="18"/>
          <w:szCs w:val="18"/>
        </w:rPr>
        <w:t>逻辑存储系统的故障包括：软件故障、硬件故障、入侵与攻击，以及其他不可预料的未知故障等</w:t>
      </w:r>
      <w:r>
        <w:rPr>
          <w:rFonts w:hint="eastAsia"/>
          <w:sz w:val="18"/>
          <w:szCs w:val="18"/>
          <w:lang w:eastAsia="zh-CN"/>
        </w:rPr>
        <w:t>。</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逻辑存储系统需外出维修时，逻辑存储安全管理部门</w:t>
      </w:r>
      <w:r>
        <w:rPr>
          <w:rFonts w:hint="eastAsia" w:cs="Times New Roman"/>
          <w:lang w:val="en-US" w:eastAsia="zh-CN"/>
        </w:rPr>
        <w:t>应</w:t>
      </w:r>
      <w:r>
        <w:rPr>
          <w:rFonts w:hint="eastAsia" w:hAnsi="Times New Roman" w:cs="Times New Roman"/>
          <w:lang w:val="en-US" w:eastAsia="zh-CN"/>
        </w:rPr>
        <w:t>删除系统中的敏感数据；</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对于不能尽快处理的故障，逻辑存储安全管理部门应立即通知上级领导，并保护好故障现场；</w:t>
      </w:r>
    </w:p>
    <w:p>
      <w:pPr>
        <w:pStyle w:val="26"/>
        <w:numPr>
          <w:ilvl w:val="0"/>
          <w:numId w:val="23"/>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逻辑存储系统在上线前应遵循统一的配置要求进行有效的安全配置，同时采用配置扫描工具和漏洞扫描系统对数据存储系统进行定期扫描，尽可能地消除或降低逻辑存储系统的安全隐患。</w:t>
      </w:r>
    </w:p>
    <w:p>
      <w:pPr>
        <w:pStyle w:val="28"/>
        <w:bidi w:val="0"/>
        <w:outlineLvl w:val="2"/>
        <w:rPr>
          <w:rFonts w:hint="default"/>
          <w:lang w:val="en-US" w:eastAsia="zh-CN"/>
        </w:rPr>
      </w:pPr>
      <w:bookmarkStart w:id="133" w:name="_Toc17078"/>
      <w:bookmarkStart w:id="134" w:name="_Toc21597"/>
      <w:r>
        <w:rPr>
          <w:rFonts w:hint="eastAsia"/>
          <w:lang w:val="en-US" w:eastAsia="zh-CN"/>
        </w:rPr>
        <w:t>云存储安全</w:t>
      </w:r>
      <w:bookmarkEnd w:id="133"/>
      <w:bookmarkEnd w:id="134"/>
    </w:p>
    <w:p>
      <w:pPr>
        <w:rPr>
          <w:rFonts w:hint="default"/>
          <w:lang w:val="en-US" w:eastAsia="zh-CN"/>
        </w:rPr>
      </w:pPr>
      <w:r>
        <w:rPr>
          <w:rFonts w:hint="eastAsia"/>
          <w:lang w:val="en-US" w:eastAsia="zh-CN"/>
        </w:rPr>
        <w:t>工业数据云存储应满足如下要求：</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应保证云计算基础设施位于中国境内；</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应保证云计算平台不承载高于其安全保护等级的业务应用系统；</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应实现不同云服务客户虚拟网络之间的隔离；</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应具有根据云服务客户业务需求提供通信传输、边界防护、入侵防范等安全机制的能力；</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具有根据云服务客户业务需求自主设置安全策略的能力，包括定义访问路径、选择安全组件、配置安全策略，提供开放接口或开放性安全服务，允许云服务客户接入第三方安全产品或在云计算平台选择第三方安全服务；</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应在虚拟化网络边界部署访问控制机制，并设置访问控制规则，在不同等级的网络区域边界部署访问控制机制，设置访问控制规则；</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能检测到云服务客户发起的、对虚拟网络节点的网络攻击行为，并能记录攻击类型、攻击时间、攻击流量等，应能检测到虚拟机与宿主机、虚拟机与虚拟机之间的异常流量，应在检测到网络攻击行为、异常流量情况时进行告警；</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应对云服务商和云服务客户在远程管理时执行的特权命令进行审计，至少包括虚拟机删除、虚拟机重启，保证云服务商对云服务客户系统和数据的操作可被云服务客户审计；</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当远程管理云计算平台中设备时，管理终端和云计算平台之间应建立双向身份验证机制；</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应保证当虚拟机迁移时，访问控制策略随其迁移，应允许云服务客户设置不同虚拟机之间的访问控制策略；</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应能检测虚拟机之间的资源隔离失效，并进行告警，应能检测非授权新建虚拟机或者重新启用虚拟机，并进行告警，应能够检测恶意代码感染及在虚拟机间蔓延的情况，并进行告警；</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针对重要业务系统提供加固的操作系统镜像或操作系统安全加固服务，应提供虚拟机镜像、快照完整性校验功能，防止虚拟机镜像被恶意篡改，应采用密码技术或其他技术手段防止虚拟机镜像、快照中可能存在的敏感资源被非法访问；</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确保云服务客户数据、用户个人信息等存储于中国境内，如需出境应遵循国家相关规定，应确保只有在云服务客户授权下，云服务商或第三方才具有云服务客户数据的管理权限，应使用校验码或密码技术确保虚拟机迁移过程中重要数据的完整性，并在检测到完整性受到破坏时采取必要的恢复措施，应支持云服务客户部署密钥管理解决方案，保证云服务客户自行实现数据的加解密过程；</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云服务客户应在本地保存其业务数据的备份，应提供查询云服务客户数据及备份存储位置的能力，云服务商的云存储服务应保证云服务客户数据存在若干个可用的副本，各副本之的内容应保持一致，应为云服务客户将业务系统及数据迁移到其他云计算平台和本地系统提供技术手段，并协助完成迁移过程；</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应保证虚拟机所使用的内存和存储空间回收时得到完全清除，云服务客户删除业务应用数据时，云计算平台应将云存储中所有副本删除；</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能对物理资源和虚拟资源按照策略做统一管理调度与分配，应保证云计算平台管理流量与云服务客户业务流量分离，应根据云服务商和云服务客户的职责划分，收集各自控制部分的审计数据并实现各自的集中审计，应根据云服务商和云服务客户的职责划分，实现各自控制部分包括虚拟化网络、虚拟机、虚拟化安全设备等的运行状况的集中监测；</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选择安全合规的云服务商，其所提供的云计算平台应为其所承载的业务应用系统提供相应等级的安全保护能力，应在服务水平协议中规定云服务的各项服务内容和具体技术指标，应在服务水平协议中规定云服务商的权限与责任，包括管理范围、职责划分、访问授权、隐私保护、行为准则、违约责任等，应在服务水平协议中规定服务合约到期时，完整提供云服务客户数据，并承诺相关数据在云计算平台上清除，应与选定的云服务商签署保密协议，要求其不得泄露云服务客户数据；</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应确保供应商的选择符合国家有关规定，应将供应链安全事件信息或安全威胁信息及时传达到云服务客户，应将供应商的重要变更及时传达到云限务客户，并评估变更带来的安全风险，采取措施对风险进行控制；</w:t>
      </w:r>
    </w:p>
    <w:p>
      <w:pPr>
        <w:pStyle w:val="26"/>
        <w:numPr>
          <w:ilvl w:val="0"/>
          <w:numId w:val="24"/>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云计算平台的运维地点位于中国境内，境外对境内云计算平台实施运维操作应遵循国家相关规定。</w:t>
      </w:r>
    </w:p>
    <w:p>
      <w:pPr>
        <w:pStyle w:val="28"/>
        <w:bidi w:val="0"/>
        <w:outlineLvl w:val="2"/>
        <w:rPr>
          <w:rFonts w:hint="default"/>
          <w:lang w:val="en-US" w:eastAsia="zh-CN"/>
        </w:rPr>
      </w:pPr>
      <w:bookmarkStart w:id="135" w:name="_Toc21284"/>
      <w:bookmarkStart w:id="136" w:name="_Toc25500"/>
      <w:bookmarkStart w:id="137" w:name="_Toc2581"/>
      <w:bookmarkStart w:id="138" w:name="_Toc2530"/>
      <w:r>
        <w:rPr>
          <w:rFonts w:hint="eastAsia"/>
          <w:lang w:val="en-US" w:eastAsia="zh-CN"/>
        </w:rPr>
        <w:t>数据备份和恢复</w:t>
      </w:r>
      <w:bookmarkEnd w:id="135"/>
      <w:bookmarkEnd w:id="136"/>
      <w:bookmarkEnd w:id="137"/>
      <w:bookmarkEnd w:id="138"/>
    </w:p>
    <w:p>
      <w:pPr>
        <w:rPr>
          <w:rFonts w:hint="default"/>
          <w:lang w:val="en-US" w:eastAsia="zh-CN"/>
        </w:rPr>
      </w:pPr>
      <w:r>
        <w:rPr>
          <w:rFonts w:hint="eastAsia"/>
          <w:lang w:val="en-US" w:eastAsia="zh-CN"/>
        </w:rPr>
        <w:t>工业数据备份和恢复应满足如下要求：</w:t>
      </w:r>
    </w:p>
    <w:p>
      <w:pPr>
        <w:pStyle w:val="26"/>
        <w:numPr>
          <w:ilvl w:val="0"/>
          <w:numId w:val="25"/>
        </w:numPr>
        <w:spacing w:line="360" w:lineRule="auto"/>
        <w:ind w:left="840" w:hanging="420" w:firstLineChars="0"/>
        <w:rPr>
          <w:rFonts w:hint="eastAsia" w:cs="Times New Roman"/>
          <w:lang w:val="en-US" w:eastAsia="zh-CN"/>
        </w:rPr>
      </w:pPr>
      <w:r>
        <w:rPr>
          <w:rFonts w:hint="eastAsia" w:cs="Times New Roman"/>
          <w:lang w:val="en-US" w:eastAsia="zh-CN"/>
        </w:rPr>
        <w:t>应设立数据备份和恢复管理部门负责制定整体的数据备份和恢复制度、建立数据备份和恢复的标准操作流程，并推动以上相关要制度确实可靠的落地执行；</w:t>
      </w:r>
    </w:p>
    <w:p>
      <w:pPr>
        <w:pStyle w:val="26"/>
        <w:numPr>
          <w:ilvl w:val="0"/>
          <w:numId w:val="25"/>
        </w:numPr>
        <w:spacing w:line="360" w:lineRule="auto"/>
        <w:ind w:left="840" w:hanging="420" w:firstLineChars="0"/>
        <w:rPr>
          <w:rFonts w:hint="eastAsia" w:cs="Times New Roman"/>
          <w:lang w:val="en-US" w:eastAsia="zh-CN"/>
        </w:rPr>
      </w:pPr>
      <w:r>
        <w:rPr>
          <w:rFonts w:hint="eastAsia" w:cs="Times New Roman"/>
          <w:lang w:val="en-US" w:eastAsia="zh-CN"/>
        </w:rPr>
        <w:t>应制定完备的数据备份管理制度，以保证数据备份工作的规范性；</w:t>
      </w:r>
    </w:p>
    <w:p>
      <w:pPr>
        <w:pStyle w:val="26"/>
        <w:numPr>
          <w:ilvl w:val="0"/>
          <w:numId w:val="25"/>
        </w:numPr>
        <w:spacing w:line="360" w:lineRule="auto"/>
        <w:ind w:left="840" w:hanging="420" w:firstLineChars="0"/>
        <w:rPr>
          <w:rFonts w:hint="eastAsia" w:cs="Times New Roman"/>
          <w:lang w:val="en-US" w:eastAsia="zh-CN"/>
        </w:rPr>
      </w:pPr>
      <w:r>
        <w:rPr>
          <w:rFonts w:hint="eastAsia" w:cs="Times New Roman"/>
          <w:lang w:val="en-US" w:eastAsia="zh-CN"/>
        </w:rPr>
        <w:t>应明确数据备份与恢复的管理制度，以满足数据服务可靠性、可用性等安全目标；</w:t>
      </w:r>
    </w:p>
    <w:p>
      <w:pPr>
        <w:pStyle w:val="26"/>
        <w:numPr>
          <w:ilvl w:val="0"/>
          <w:numId w:val="25"/>
        </w:numPr>
        <w:spacing w:line="360" w:lineRule="auto"/>
        <w:ind w:left="840" w:hanging="420" w:firstLineChars="0"/>
        <w:rPr>
          <w:rFonts w:hint="eastAsia" w:cs="Times New Roman"/>
          <w:lang w:val="en-US" w:eastAsia="zh-CN"/>
        </w:rPr>
      </w:pPr>
      <w:r>
        <w:rPr>
          <w:rFonts w:hint="eastAsia" w:cs="Times New Roman"/>
          <w:lang w:val="en-US" w:eastAsia="zh-CN"/>
        </w:rPr>
        <w:t>应明确数据备份与恢复的操作规程，明确定义数据备份和恢复的范围、频率、工具、过程、日志记录、数据保存时长等；</w:t>
      </w:r>
    </w:p>
    <w:p>
      <w:pPr>
        <w:pStyle w:val="26"/>
        <w:numPr>
          <w:ilvl w:val="0"/>
          <w:numId w:val="25"/>
        </w:numPr>
        <w:spacing w:line="360" w:lineRule="auto"/>
        <w:ind w:left="840" w:hanging="420" w:firstLineChars="0"/>
        <w:rPr>
          <w:rFonts w:hint="eastAsia" w:cs="Times New Roman"/>
          <w:lang w:val="en-US" w:eastAsia="zh-CN"/>
        </w:rPr>
      </w:pPr>
      <w:r>
        <w:rPr>
          <w:rFonts w:hint="eastAsia" w:cs="Times New Roman"/>
          <w:lang w:val="en-US" w:eastAsia="zh-CN"/>
        </w:rPr>
        <w:t>应明确数据备份与恢复的定期检查和更新工作程序，包括数据副本的更新频率、保存期限等；</w:t>
      </w:r>
    </w:p>
    <w:p>
      <w:pPr>
        <w:pStyle w:val="26"/>
        <w:numPr>
          <w:ilvl w:val="0"/>
          <w:numId w:val="25"/>
        </w:numPr>
        <w:spacing w:line="360" w:lineRule="auto"/>
        <w:ind w:left="840" w:hanging="420" w:firstLineChars="0"/>
        <w:rPr>
          <w:rFonts w:hint="eastAsia" w:cs="Times New Roman"/>
          <w:lang w:val="en-US" w:eastAsia="zh-CN"/>
        </w:rPr>
      </w:pPr>
      <w:r>
        <w:rPr>
          <w:rFonts w:hint="eastAsia" w:cs="Times New Roman"/>
          <w:lang w:val="en-US" w:eastAsia="zh-CN"/>
        </w:rPr>
        <w:t>应依据数据生存周期和业务规范，建立数据生存周期各阶段数据归档的操作流程；</w:t>
      </w:r>
    </w:p>
    <w:p>
      <w:pPr>
        <w:pStyle w:val="26"/>
        <w:numPr>
          <w:ilvl w:val="0"/>
          <w:numId w:val="25"/>
        </w:numPr>
        <w:spacing w:line="360" w:lineRule="auto"/>
        <w:ind w:left="840" w:hanging="420" w:firstLineChars="0"/>
        <w:rPr>
          <w:rFonts w:hint="eastAsia" w:cs="Times New Roman"/>
          <w:lang w:val="en-US" w:eastAsia="zh-CN"/>
        </w:rPr>
      </w:pPr>
      <w:r>
        <w:rPr>
          <w:rFonts w:hint="eastAsia" w:cs="Times New Roman"/>
          <w:lang w:val="en-US" w:eastAsia="zh-CN"/>
        </w:rPr>
        <w:t>应明确归档数据的压缩或加密要求；</w:t>
      </w:r>
    </w:p>
    <w:p>
      <w:pPr>
        <w:pStyle w:val="26"/>
        <w:numPr>
          <w:ilvl w:val="0"/>
          <w:numId w:val="25"/>
        </w:numPr>
        <w:spacing w:line="360" w:lineRule="auto"/>
        <w:ind w:left="840" w:hanging="420" w:firstLineChars="0"/>
        <w:rPr>
          <w:rFonts w:hint="eastAsia" w:cs="Times New Roman"/>
          <w:lang w:val="en-US" w:eastAsia="zh-CN"/>
        </w:rPr>
      </w:pPr>
      <w:r>
        <w:rPr>
          <w:rFonts w:hint="eastAsia" w:cs="Times New Roman"/>
          <w:lang w:val="en-US" w:eastAsia="zh-CN"/>
        </w:rPr>
        <w:t>应明确归档数据的安全管控措施，非授权用户不能访问归档数据；</w:t>
      </w:r>
    </w:p>
    <w:p>
      <w:pPr>
        <w:pStyle w:val="26"/>
        <w:numPr>
          <w:ilvl w:val="0"/>
          <w:numId w:val="25"/>
        </w:numPr>
        <w:spacing w:line="360" w:lineRule="auto"/>
        <w:ind w:left="840" w:hanging="420" w:firstLineChars="0"/>
        <w:rPr>
          <w:rFonts w:hint="eastAsia" w:cs="Times New Roman"/>
          <w:lang w:val="en-US" w:eastAsia="zh-CN"/>
        </w:rPr>
      </w:pPr>
      <w:r>
        <w:rPr>
          <w:rFonts w:hint="eastAsia" w:cs="Times New Roman"/>
          <w:lang w:val="en-US" w:eastAsia="zh-CN"/>
        </w:rPr>
        <w:t>应识别组织适用的合规要求，按监管部门的要求对相关数据予以记录利保存；</w:t>
      </w:r>
    </w:p>
    <w:p>
      <w:pPr>
        <w:pStyle w:val="26"/>
        <w:numPr>
          <w:ilvl w:val="0"/>
          <w:numId w:val="25"/>
        </w:numPr>
        <w:spacing w:line="360" w:lineRule="auto"/>
        <w:ind w:left="840" w:hanging="420" w:firstLineChars="0"/>
        <w:rPr>
          <w:rFonts w:hint="eastAsia" w:cs="Times New Roman"/>
          <w:lang w:val="en-US" w:eastAsia="zh-CN"/>
        </w:rPr>
      </w:pPr>
      <w:r>
        <w:rPr>
          <w:rFonts w:hint="eastAsia" w:cs="Times New Roman"/>
          <w:lang w:val="en-US" w:eastAsia="zh-CN"/>
        </w:rPr>
        <w:t>应明确数据存储时效性管理规程，明确数据分享、存储、使用和删除的有效期、有效期到期时对数据的处理流程、过期存储数据的安全管理要求；</w:t>
      </w:r>
    </w:p>
    <w:p>
      <w:pPr>
        <w:pStyle w:val="26"/>
        <w:numPr>
          <w:ilvl w:val="0"/>
          <w:numId w:val="25"/>
        </w:numPr>
        <w:spacing w:line="360" w:lineRule="auto"/>
        <w:ind w:left="840" w:hanging="420" w:firstLineChars="0"/>
        <w:rPr>
          <w:rFonts w:hint="eastAsia" w:cs="Times New Roman"/>
          <w:lang w:val="en-US" w:eastAsia="zh-CN"/>
        </w:rPr>
      </w:pPr>
      <w:r>
        <w:rPr>
          <w:rFonts w:hint="eastAsia" w:cs="Times New Roman"/>
          <w:lang w:val="en-US" w:eastAsia="zh-CN"/>
        </w:rPr>
        <w:t>应明确过期存储数据的安全保护机制，对超出有效期的存储数据应具备再次获取数据控制者授权的能力；</w:t>
      </w:r>
    </w:p>
    <w:p>
      <w:pPr>
        <w:pStyle w:val="26"/>
        <w:numPr>
          <w:ilvl w:val="0"/>
          <w:numId w:val="25"/>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应建立数据备份与恢复的统一技术工具，保证相关工作的自动执行；</w:t>
      </w:r>
    </w:p>
    <w:p>
      <w:pPr>
        <w:pStyle w:val="26"/>
        <w:numPr>
          <w:ilvl w:val="0"/>
          <w:numId w:val="25"/>
        </w:numPr>
        <w:spacing w:line="360" w:lineRule="auto"/>
        <w:ind w:left="840" w:hanging="420" w:firstLineChars="0"/>
        <w:rPr>
          <w:rFonts w:hint="eastAsia" w:ascii="宋体" w:hAnsi="Times New Roman" w:eastAsia="宋体" w:cs="Times New Roman"/>
          <w:b w:val="0"/>
          <w:spacing w:val="0"/>
          <w:sz w:val="21"/>
          <w:szCs w:val="20"/>
          <w:lang w:val="en-US" w:eastAsia="zh-CN" w:bidi="ar-SA"/>
        </w:rPr>
      </w:pPr>
      <w:r>
        <w:rPr>
          <w:rFonts w:hint="eastAsia" w:hAnsi="Times New Roman" w:cs="Times New Roman"/>
          <w:lang w:val="en-US" w:eastAsia="zh-CN"/>
        </w:rPr>
        <w:t>应建立备份和归档数据安全的技术手段，包括但不限于对备份和归档数据的访问控制、压缩或加密管理、完整性和可用性管理，确保对备份和归档数据的安全性、存储空间的有效利用、安全存储和安全访问；</w:t>
      </w:r>
    </w:p>
    <w:p>
      <w:pPr>
        <w:pStyle w:val="26"/>
        <w:numPr>
          <w:ilvl w:val="0"/>
          <w:numId w:val="25"/>
        </w:numPr>
        <w:spacing w:line="360" w:lineRule="auto"/>
        <w:ind w:left="840" w:hanging="420" w:firstLineChars="0"/>
        <w:rPr>
          <w:rFonts w:hint="eastAsia" w:ascii="宋体" w:hAnsi="Times New Roman" w:eastAsia="宋体" w:cs="Times New Roman"/>
          <w:b w:val="0"/>
          <w:spacing w:val="0"/>
          <w:sz w:val="21"/>
          <w:szCs w:val="20"/>
          <w:lang w:val="en-US" w:eastAsia="zh-CN" w:bidi="ar-SA"/>
        </w:rPr>
      </w:pPr>
      <w:r>
        <w:rPr>
          <w:rFonts w:hint="eastAsia" w:hAnsi="Times New Roman" w:cs="Times New Roman"/>
          <w:lang w:val="en-US" w:eastAsia="zh-CN"/>
        </w:rPr>
        <w:t>应定期采取必要的技术措施查验备份利归档数据完整性和可用性；</w:t>
      </w:r>
    </w:p>
    <w:p>
      <w:pPr>
        <w:pStyle w:val="26"/>
        <w:numPr>
          <w:ilvl w:val="0"/>
          <w:numId w:val="25"/>
        </w:numPr>
        <w:spacing w:line="360" w:lineRule="auto"/>
        <w:ind w:left="840" w:hanging="420" w:firstLineChars="0"/>
        <w:rPr>
          <w:rFonts w:hint="eastAsia" w:ascii="宋体" w:hAnsi="Times New Roman" w:eastAsia="宋体" w:cs="Times New Roman"/>
          <w:b w:val="0"/>
          <w:spacing w:val="0"/>
          <w:sz w:val="21"/>
          <w:szCs w:val="20"/>
          <w:lang w:val="en-US" w:eastAsia="zh-CN" w:bidi="ar-SA"/>
        </w:rPr>
      </w:pPr>
      <w:r>
        <w:rPr>
          <w:rFonts w:hint="eastAsia" w:hAnsi="Times New Roman" w:cs="Times New Roman"/>
          <w:lang w:val="en-US" w:eastAsia="zh-CN"/>
        </w:rPr>
        <w:t>应建立过期存储数据及其备份数据彻底删除或匿名化的方法和机制，能够验证数据已被完全删除、无法恢复或无法识别到个人，并告知数据控制者和数据使用者；</w:t>
      </w:r>
    </w:p>
    <w:p>
      <w:pPr>
        <w:pStyle w:val="26"/>
        <w:numPr>
          <w:ilvl w:val="0"/>
          <w:numId w:val="25"/>
        </w:numPr>
        <w:spacing w:line="360" w:lineRule="auto"/>
        <w:ind w:left="840" w:hanging="420" w:firstLineChars="0"/>
        <w:rPr>
          <w:rFonts w:hint="eastAsia" w:ascii="宋体" w:hAnsi="Times New Roman" w:eastAsia="宋体" w:cs="Times New Roman"/>
          <w:b w:val="0"/>
          <w:spacing w:val="0"/>
          <w:sz w:val="21"/>
          <w:szCs w:val="20"/>
          <w:lang w:val="en-US" w:eastAsia="zh-CN" w:bidi="ar-SA"/>
        </w:rPr>
      </w:pPr>
      <w:r>
        <w:rPr>
          <w:rFonts w:hint="eastAsia" w:hAnsi="Times New Roman" w:cs="Times New Roman"/>
          <w:lang w:val="en-US" w:eastAsia="zh-CN"/>
        </w:rPr>
        <w:t>应通过风险提示和技术手段避免非过期数据的误删除，确保在一定的时间窗口内的误删除数据可以手动恢复；</w:t>
      </w:r>
    </w:p>
    <w:p>
      <w:pPr>
        <w:pStyle w:val="26"/>
        <w:numPr>
          <w:ilvl w:val="0"/>
          <w:numId w:val="25"/>
        </w:numPr>
        <w:spacing w:line="360" w:lineRule="auto"/>
        <w:ind w:left="840" w:hanging="420" w:firstLineChars="0"/>
        <w:rPr>
          <w:rFonts w:hint="eastAsia" w:hAnsi="Times New Roman" w:cs="Times New Roman"/>
          <w:lang w:val="en-US" w:eastAsia="zh-CN"/>
        </w:rPr>
      </w:pPr>
      <w:r>
        <w:rPr>
          <w:rFonts w:hint="eastAsia" w:hAnsi="Times New Roman" w:cs="Times New Roman"/>
          <w:lang w:val="en-US" w:eastAsia="zh-CN"/>
        </w:rPr>
        <w:t>应确保存储架构具备数据存储跨机柜或跨机房容错部署能力。</w:t>
      </w:r>
    </w:p>
    <w:p>
      <w:pPr>
        <w:pStyle w:val="27"/>
        <w:spacing w:before="312" w:after="312" w:line="360" w:lineRule="auto"/>
        <w:outlineLvl w:val="1"/>
        <w:rPr>
          <w:rFonts w:hint="eastAsia" w:hAnsi="黑体" w:cs="Times New Roman"/>
          <w:color w:val="auto"/>
          <w:highlight w:val="none"/>
          <w:lang w:val="en-US" w:eastAsia="zh-CN"/>
        </w:rPr>
      </w:pPr>
      <w:bookmarkStart w:id="139" w:name="_Toc20686"/>
      <w:bookmarkStart w:id="140" w:name="_Toc14087"/>
      <w:r>
        <w:rPr>
          <w:rFonts w:hint="eastAsia" w:hAnsi="黑体" w:cs="Times New Roman"/>
          <w:color w:val="auto"/>
          <w:highlight w:val="none"/>
          <w:lang w:val="en-US" w:eastAsia="zh-CN"/>
        </w:rPr>
        <w:t>数据处理</w:t>
      </w:r>
      <w:bookmarkEnd w:id="139"/>
      <w:bookmarkEnd w:id="140"/>
    </w:p>
    <w:p>
      <w:pPr>
        <w:pStyle w:val="28"/>
        <w:bidi w:val="0"/>
        <w:outlineLvl w:val="2"/>
        <w:rPr>
          <w:rFonts w:hint="default"/>
          <w:lang w:val="en-US" w:eastAsia="zh-CN"/>
        </w:rPr>
      </w:pPr>
      <w:bookmarkStart w:id="141" w:name="_Toc7023"/>
      <w:bookmarkStart w:id="142" w:name="_Toc25729"/>
      <w:r>
        <w:rPr>
          <w:rFonts w:hint="eastAsia"/>
          <w:lang w:val="en-US" w:eastAsia="zh-CN"/>
        </w:rPr>
        <w:t>数据脱敏</w:t>
      </w:r>
      <w:bookmarkEnd w:id="141"/>
      <w:bookmarkEnd w:id="142"/>
    </w:p>
    <w:p>
      <w:pPr>
        <w:rPr>
          <w:rFonts w:hint="default"/>
          <w:lang w:val="en-US" w:eastAsia="zh-CN"/>
        </w:rPr>
      </w:pPr>
      <w:r>
        <w:rPr>
          <w:rFonts w:hint="eastAsia" w:cs="Times New Roman"/>
          <w:lang w:val="en-US" w:eastAsia="zh-CN"/>
        </w:rPr>
        <w:t>工业数据脱敏应满足如下要求：</w:t>
      </w:r>
    </w:p>
    <w:p>
      <w:pPr>
        <w:pStyle w:val="26"/>
        <w:numPr>
          <w:ilvl w:val="0"/>
          <w:numId w:val="26"/>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应设立数据脱敏部门并</w:t>
      </w:r>
      <w:r>
        <w:rPr>
          <w:rFonts w:hint="eastAsia" w:cs="Times New Roman"/>
          <w:lang w:val="en-US" w:eastAsia="zh-CN"/>
        </w:rPr>
        <w:t>配置专职</w:t>
      </w:r>
      <w:r>
        <w:rPr>
          <w:rFonts w:hint="default" w:hAnsi="Times New Roman" w:cs="Times New Roman"/>
          <w:lang w:val="en-US" w:eastAsia="zh-CN"/>
        </w:rPr>
        <w:t>的技术人员和管理人员，负责制定整体的数据脱敏原则和制度，并推动相关要求确实可靠的落地执行。</w:t>
      </w:r>
    </w:p>
    <w:p>
      <w:pPr>
        <w:pStyle w:val="26"/>
        <w:numPr>
          <w:ilvl w:val="0"/>
          <w:numId w:val="26"/>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应根据实际业务场景，结合行业法规的要求，制定相应的数据脱敏策略。</w:t>
      </w:r>
    </w:p>
    <w:p>
      <w:pPr>
        <w:pStyle w:val="26"/>
        <w:numPr>
          <w:ilvl w:val="0"/>
          <w:numId w:val="26"/>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应确保</w:t>
      </w:r>
      <w:r>
        <w:rPr>
          <w:rFonts w:hint="default" w:hAnsi="Times New Roman" w:cs="Times New Roman"/>
          <w:lang w:val="en-US" w:eastAsia="zh-CN"/>
        </w:rPr>
        <w:t>经过数据脱敏处理后，原始信息中包含的敏感信息已被移除，无法通过处理后的数据得到敏感信息</w:t>
      </w:r>
      <w:r>
        <w:rPr>
          <w:rFonts w:hint="eastAsia" w:hAnsi="Times New Roman" w:cs="Times New Roman"/>
          <w:lang w:val="en-US" w:eastAsia="zh-CN"/>
        </w:rPr>
        <w:t>；</w:t>
      </w:r>
    </w:p>
    <w:p>
      <w:pPr>
        <w:pStyle w:val="26"/>
        <w:numPr>
          <w:ilvl w:val="0"/>
          <w:numId w:val="26"/>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脱敏后的数据应尽可能的体现原始数据的特征，且应尽可能多的保留原始数据中的有意义信息，以减小对使用该数据的系统的影响</w:t>
      </w:r>
      <w:r>
        <w:rPr>
          <w:rFonts w:hint="eastAsia" w:hAnsi="Times New Roman" w:cs="Times New Roman"/>
          <w:lang w:val="en-US" w:eastAsia="zh-CN"/>
        </w:rPr>
        <w:t>；</w:t>
      </w:r>
    </w:p>
    <w:p>
      <w:pPr>
        <w:pStyle w:val="26"/>
        <w:numPr>
          <w:ilvl w:val="0"/>
          <w:numId w:val="26"/>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应保证数据脱敏的过程可通过程序自动化实现，可重复执行</w:t>
      </w:r>
      <w:r>
        <w:rPr>
          <w:rFonts w:hint="eastAsia" w:hAnsi="Times New Roman" w:cs="Times New Roman"/>
          <w:lang w:val="en-US" w:eastAsia="zh-CN"/>
        </w:rPr>
        <w:t>；</w:t>
      </w:r>
    </w:p>
    <w:p>
      <w:pPr>
        <w:pStyle w:val="26"/>
        <w:numPr>
          <w:ilvl w:val="0"/>
          <w:numId w:val="26"/>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数据脱敏时需保证对相同的原始数据，在各输入条件一致的前提下，无论脱敏多少次，其最终结果数据是相同的；</w:t>
      </w:r>
    </w:p>
    <w:p>
      <w:pPr>
        <w:pStyle w:val="26"/>
        <w:numPr>
          <w:ilvl w:val="0"/>
          <w:numId w:val="26"/>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可通过配置的方式，按照输入条件不同生成不同的脱敏结果，从而可以方便的按数据使用场景等因素为不同的最终用户提供不同的脱敏数据</w:t>
      </w:r>
      <w:r>
        <w:rPr>
          <w:rFonts w:hint="eastAsia" w:cs="Times New Roman"/>
          <w:lang w:val="en-US" w:eastAsia="zh-CN"/>
        </w:rPr>
        <w:t>；</w:t>
      </w:r>
    </w:p>
    <w:p>
      <w:pPr>
        <w:pStyle w:val="26"/>
        <w:numPr>
          <w:ilvl w:val="0"/>
          <w:numId w:val="26"/>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在数据脱敏之前，应结合数据分级分类表对敏感数据进行识别和定义，明确需要脱敏的数据信息，一般包括个人信息数据、组织敏感信息、国家重要数据等</w:t>
      </w:r>
      <w:r>
        <w:rPr>
          <w:rFonts w:hint="eastAsia" w:cs="Times New Roman"/>
          <w:lang w:val="en-US" w:eastAsia="zh-CN"/>
        </w:rPr>
        <w:t>，并</w:t>
      </w:r>
      <w:r>
        <w:rPr>
          <w:rFonts w:hint="default" w:hAnsi="Times New Roman" w:cs="Times New Roman"/>
          <w:lang w:val="en-US" w:eastAsia="zh-CN"/>
        </w:rPr>
        <w:t>根据识别出的敏感数据的具体情况，确定合适的脱敏方法</w:t>
      </w:r>
      <w:r>
        <w:rPr>
          <w:rFonts w:hint="eastAsia" w:cs="Times New Roman"/>
          <w:lang w:val="en-US" w:eastAsia="zh-CN"/>
        </w:rPr>
        <w:t>；</w:t>
      </w:r>
    </w:p>
    <w:p>
      <w:pPr>
        <w:pStyle w:val="26"/>
        <w:numPr>
          <w:ilvl w:val="0"/>
          <w:numId w:val="26"/>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在数据脱敏的各个阶段需加入安全审计机制，严格、详细记录数据处理过程中的相关信息，形成完整的数据处理记录</w:t>
      </w:r>
      <w:r>
        <w:rPr>
          <w:rFonts w:hint="eastAsia" w:cs="Times New Roman"/>
          <w:lang w:val="en-US" w:eastAsia="zh-CN"/>
        </w:rPr>
        <w:t>；</w:t>
      </w:r>
    </w:p>
    <w:p>
      <w:pPr>
        <w:pStyle w:val="26"/>
        <w:numPr>
          <w:ilvl w:val="0"/>
          <w:numId w:val="26"/>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设置专人定期对脱敏相关的日志记录进行安全审计，发布审计报告，并跟进审计中发现的异常。</w:t>
      </w:r>
    </w:p>
    <w:p>
      <w:pPr>
        <w:pStyle w:val="28"/>
        <w:bidi w:val="0"/>
        <w:outlineLvl w:val="2"/>
        <w:rPr>
          <w:rFonts w:hint="default" w:cs="Times New Roman"/>
          <w:lang w:val="en-US" w:eastAsia="zh-CN"/>
        </w:rPr>
      </w:pPr>
      <w:bookmarkStart w:id="143" w:name="_Toc21311"/>
      <w:bookmarkStart w:id="144" w:name="_Toc2805"/>
      <w:r>
        <w:rPr>
          <w:rFonts w:hint="eastAsia" w:cs="Times New Roman"/>
          <w:lang w:val="en-US" w:eastAsia="zh-CN"/>
        </w:rPr>
        <w:t>数据分析安全</w:t>
      </w:r>
      <w:bookmarkEnd w:id="143"/>
      <w:bookmarkEnd w:id="144"/>
    </w:p>
    <w:p>
      <w:pPr>
        <w:rPr>
          <w:rFonts w:hint="default"/>
          <w:lang w:val="en-US" w:eastAsia="zh-CN"/>
        </w:rPr>
      </w:pPr>
      <w:r>
        <w:rPr>
          <w:rFonts w:hint="eastAsia" w:cs="Times New Roman"/>
          <w:lang w:val="en-US" w:eastAsia="zh-CN"/>
        </w:rPr>
        <w:t>工业数据分析应满足如下要求：</w:t>
      </w:r>
    </w:p>
    <w:p>
      <w:pPr>
        <w:pStyle w:val="26"/>
        <w:numPr>
          <w:ilvl w:val="0"/>
          <w:numId w:val="2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应设立数据分析部门，负责为公司提供必要的数据分析技术支持，负责为制定整体的数据分析安全方案和相关制度，并推动相关要求确实可靠的落地执行</w:t>
      </w:r>
      <w:r>
        <w:rPr>
          <w:rFonts w:hint="eastAsia" w:cs="Times New Roman"/>
          <w:lang w:val="en-US" w:eastAsia="zh-CN"/>
        </w:rPr>
        <w:t>；</w:t>
      </w:r>
    </w:p>
    <w:p>
      <w:pPr>
        <w:pStyle w:val="26"/>
        <w:numPr>
          <w:ilvl w:val="0"/>
          <w:numId w:val="2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应明确数据分析过程的安全规范，覆盖构建数据仓库、建模、分析、挖掘、展现等方面的安全要求，明确个人信息保护、数据获取方式、访问接口、授权机制、分析逻辑安全、分析结果安全等内容；</w:t>
      </w:r>
    </w:p>
    <w:p>
      <w:pPr>
        <w:pStyle w:val="26"/>
        <w:numPr>
          <w:ilvl w:val="0"/>
          <w:numId w:val="2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应明确数据分析安全审核流程，对数据分析的数据源、数据分析需求、分析逻辑进行审核，以确保数据分析目的、分析操作等当面的正当性；</w:t>
      </w:r>
    </w:p>
    <w:p>
      <w:pPr>
        <w:pStyle w:val="26"/>
        <w:numPr>
          <w:ilvl w:val="0"/>
          <w:numId w:val="2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应采取必要的监控审计措施，确保实际进行的分析操作与分析结果使用与其声明的一致，整体保证数据分析的预期不会超过相关分析团队对数据的权限范围；</w:t>
      </w:r>
    </w:p>
    <w:p>
      <w:pPr>
        <w:pStyle w:val="26"/>
        <w:numPr>
          <w:ilvl w:val="0"/>
          <w:numId w:val="2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应明确数据分析结果输出和使用的安全审核、合规评估和授权流程,防止数据分析结果输出造成安全风险；</w:t>
      </w:r>
    </w:p>
    <w:p>
      <w:pPr>
        <w:pStyle w:val="26"/>
        <w:numPr>
          <w:ilvl w:val="0"/>
          <w:numId w:val="2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在针对个人信息的数据分析中，组织应采用多种技术手段以降低数据分析过程中的隐私泄漏风险</w:t>
      </w:r>
    </w:p>
    <w:p>
      <w:pPr>
        <w:pStyle w:val="26"/>
        <w:numPr>
          <w:ilvl w:val="0"/>
          <w:numId w:val="2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应记录并保存数据分析过程中对个人信息、重要数据等敏感数据的操作行为；</w:t>
      </w:r>
    </w:p>
    <w:p>
      <w:pPr>
        <w:pStyle w:val="26"/>
        <w:numPr>
          <w:ilvl w:val="0"/>
          <w:numId w:val="2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应提供组织统一的数据分析系统，并能够呈现数据</w:t>
      </w:r>
      <w:r>
        <w:rPr>
          <w:rFonts w:hint="eastAsia" w:cs="Times New Roman"/>
          <w:lang w:val="en-US" w:eastAsia="zh-CN"/>
        </w:rPr>
        <w:t>分析</w:t>
      </w:r>
      <w:r>
        <w:rPr>
          <w:rFonts w:hint="default" w:hAnsi="Times New Roman" w:cs="Times New Roman"/>
          <w:lang w:val="en-US" w:eastAsia="zh-CN"/>
        </w:rPr>
        <w:t>前后数据间的映射关系。</w:t>
      </w:r>
    </w:p>
    <w:p>
      <w:pPr>
        <w:pStyle w:val="28"/>
        <w:bidi w:val="0"/>
        <w:outlineLvl w:val="2"/>
        <w:rPr>
          <w:rFonts w:hint="default"/>
          <w:lang w:val="en-US" w:eastAsia="zh-CN"/>
        </w:rPr>
      </w:pPr>
      <w:bookmarkStart w:id="145" w:name="_Toc2755"/>
      <w:bookmarkStart w:id="146" w:name="_Toc22964"/>
      <w:r>
        <w:rPr>
          <w:rFonts w:hint="eastAsia"/>
          <w:lang w:val="en-US" w:eastAsia="zh-CN"/>
        </w:rPr>
        <w:t>数据处理环境安全</w:t>
      </w:r>
      <w:bookmarkEnd w:id="145"/>
      <w:bookmarkEnd w:id="146"/>
    </w:p>
    <w:p>
      <w:pPr>
        <w:rPr>
          <w:rFonts w:hint="default"/>
          <w:lang w:val="en-US" w:eastAsia="zh-CN"/>
        </w:rPr>
      </w:pPr>
      <w:r>
        <w:rPr>
          <w:rFonts w:hint="eastAsia" w:cs="Times New Roman"/>
          <w:lang w:val="en-US" w:eastAsia="zh-CN"/>
        </w:rPr>
        <w:t>工业数据处理环境应满足如下要求：</w:t>
      </w:r>
    </w:p>
    <w:p>
      <w:pPr>
        <w:pStyle w:val="26"/>
        <w:numPr>
          <w:ilvl w:val="0"/>
          <w:numId w:val="28"/>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应由业务团队相关人员负责数据处理环境安全管控</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数据处理</w:t>
      </w:r>
      <w:r>
        <w:rPr>
          <w:rFonts w:hint="eastAsia" w:cs="Times New Roman"/>
          <w:lang w:val="en-US" w:eastAsia="zh-CN"/>
        </w:rPr>
        <w:t>环</w:t>
      </w:r>
      <w:r>
        <w:rPr>
          <w:rFonts w:hint="default" w:hAnsi="Times New Roman" w:cs="Times New Roman"/>
          <w:lang w:val="en-US" w:eastAsia="zh-CN"/>
        </w:rPr>
        <w:t>境的系统设计、开发和运维阶段应制定相应的安全控制措施，实现对安全风险的管理；</w:t>
      </w:r>
    </w:p>
    <w:p>
      <w:pPr>
        <w:pStyle w:val="26"/>
        <w:numPr>
          <w:ilvl w:val="0"/>
          <w:numId w:val="28"/>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应明确数据处理</w:t>
      </w:r>
      <w:r>
        <w:rPr>
          <w:rFonts w:hint="eastAsia" w:cs="Times New Roman"/>
          <w:lang w:val="en-US" w:eastAsia="zh-CN"/>
        </w:rPr>
        <w:t>环</w:t>
      </w:r>
      <w:r>
        <w:rPr>
          <w:rFonts w:hint="default" w:hAnsi="Times New Roman" w:cs="Times New Roman"/>
          <w:lang w:val="en-US" w:eastAsia="zh-CN"/>
        </w:rPr>
        <w:t>境的安全管理要求；</w:t>
      </w:r>
    </w:p>
    <w:p>
      <w:pPr>
        <w:pStyle w:val="26"/>
        <w:numPr>
          <w:ilvl w:val="0"/>
          <w:numId w:val="28"/>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应基于数据处理</w:t>
      </w:r>
      <w:r>
        <w:rPr>
          <w:rFonts w:hint="eastAsia" w:cs="Times New Roman"/>
          <w:lang w:val="en-US" w:eastAsia="zh-CN"/>
        </w:rPr>
        <w:t>环</w:t>
      </w:r>
      <w:r>
        <w:rPr>
          <w:rFonts w:hint="default" w:hAnsi="Times New Roman" w:cs="Times New Roman"/>
          <w:lang w:val="en-US" w:eastAsia="zh-CN"/>
        </w:rPr>
        <w:t>境建立分布式处理安全要求，对外部服务组件注册与使用审核、分布式处理节点间可信连接认证、节点和用户安全属性周期性确认、数据文件标识利用户身份鉴权、数据副本节点更新检测及防止数据泄漏等方面进行安全要求和控制；</w:t>
      </w:r>
    </w:p>
    <w:p>
      <w:pPr>
        <w:pStyle w:val="26"/>
        <w:numPr>
          <w:ilvl w:val="0"/>
          <w:numId w:val="28"/>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组织应明确适合数据处理环境的数据加解密处理要求和密钥管理要求</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w:t>
      </w:r>
      <w:r>
        <w:rPr>
          <w:rFonts w:hint="default" w:hAnsi="Times New Roman" w:cs="Times New Roman"/>
          <w:lang w:val="en-US" w:eastAsia="zh-CN"/>
        </w:rPr>
        <w:t>建立数据分布式处理节点间可信连接策略和规范，例如：采用Kerberos、可信模块等节点认证机制以确保数据分布式处理节点接入的可信性</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w:t>
      </w:r>
      <w:r>
        <w:rPr>
          <w:rFonts w:hint="default" w:hAnsi="Times New Roman" w:cs="Times New Roman"/>
          <w:lang w:val="en-US" w:eastAsia="zh-CN"/>
        </w:rPr>
        <w:t>建立数据分布式处理每个计算节点和用户安全属性的周期性确认机制，确保分布式处理预定义安全策略的一致性</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w:t>
      </w:r>
      <w:r>
        <w:rPr>
          <w:rFonts w:hint="default" w:hAnsi="Times New Roman" w:cs="Times New Roman"/>
          <w:lang w:val="en-US" w:eastAsia="zh-CN"/>
        </w:rPr>
        <w:t>建立分布式处理过程中数据文件鉴别和认证的策略和规范，确保分布式处理数据文件的可访问性</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w:t>
      </w:r>
      <w:r>
        <w:rPr>
          <w:rFonts w:hint="default" w:hAnsi="Times New Roman" w:cs="Times New Roman"/>
          <w:lang w:val="en-US" w:eastAsia="zh-CN"/>
        </w:rPr>
        <w:t>建立分布式处理过程中不同数据副本节点的更新检测机制，确保这些结点数据拷贝的真实性</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w:t>
      </w:r>
      <w:r>
        <w:rPr>
          <w:rFonts w:hint="default" w:hAnsi="Times New Roman" w:cs="Times New Roman"/>
          <w:lang w:val="en-US" w:eastAsia="zh-CN"/>
        </w:rPr>
        <w:t>建立分布式结算过程中数据泄露控制规范和机制，防止数据处理过程中的调试信息、日志记录、不受控制输出等泄露受保护的个人信息或重要数据</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w:t>
      </w:r>
      <w:r>
        <w:rPr>
          <w:rFonts w:hint="default" w:hAnsi="Times New Roman" w:cs="Times New Roman"/>
          <w:lang w:val="en-US" w:eastAsia="zh-CN"/>
        </w:rPr>
        <w:t>建立分布式处理外部服务组件审核机制，防止外部服务组件泄漏受保护的个人信息或重要数据</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w:t>
      </w:r>
      <w:r>
        <w:rPr>
          <w:rFonts w:hint="default" w:hAnsi="Times New Roman" w:cs="Times New Roman"/>
          <w:lang w:val="en-US" w:eastAsia="zh-CN"/>
        </w:rPr>
        <w:t>建立数据分布式处理节点的自动维护策略和管控措施，提供虚假结点监测、故障用户结点确认和自动修复的技术机制，避免云环境或虚拟环境下潜在的安全攻击</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基于员工工作岗位和角色，遵循最小权限和职责分离原则，授予员工有限的资源访问权限</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应建立数据处理环境的数据加密和解密处理策略和密钥管理规范。在风险评估的基础上采用合理的加密技术</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使用自动化监控系统对数据处理平台网络设备、服务器、数据库、应用集群以及核心业务进行全面实时监控</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应制定数据处理溯源策略和溯源机制、溯源数据存储和使用的管理制度</w:t>
      </w:r>
      <w:r>
        <w:rPr>
          <w:rFonts w:hint="eastAsia" w:cs="Times New Roman"/>
          <w:lang w:val="en-US" w:eastAsia="zh-CN"/>
        </w:rPr>
        <w:t>，</w:t>
      </w:r>
      <w:r>
        <w:rPr>
          <w:rFonts w:hint="default" w:hAnsi="Times New Roman" w:cs="Times New Roman"/>
          <w:lang w:val="en-US" w:eastAsia="zh-CN"/>
        </w:rPr>
        <w:t>并制定溯源数据表达方式和格式规范，以规范化组织、存储和管理溯源数据</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应建立基于溯源数据的数据业务与法律法规合规性审计机制，并依据审计结果增强或改进数据服务相关的访问控制与合规性保障工作</w:t>
      </w:r>
      <w:r>
        <w:rPr>
          <w:rFonts w:hint="eastAsia" w:cs="Times New Roman"/>
          <w:lang w:val="en-US" w:eastAsia="zh-CN"/>
        </w:rPr>
        <w:t>；</w:t>
      </w:r>
    </w:p>
    <w:p>
      <w:pPr>
        <w:pStyle w:val="26"/>
        <w:numPr>
          <w:ilvl w:val="0"/>
          <w:numId w:val="28"/>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应采取校验码、加密、数字签名等技术手段，保证溯源数据真实性和机密性。并采用必要的技术手段，确保溯源数据能重现数据处理过程，如追溯操作发起者及发起时间</w:t>
      </w:r>
      <w:r>
        <w:rPr>
          <w:rFonts w:hint="eastAsia" w:cs="Times New Roman"/>
          <w:lang w:val="en-US" w:eastAsia="zh-CN"/>
        </w:rPr>
        <w:t>。</w:t>
      </w:r>
    </w:p>
    <w:p>
      <w:pPr>
        <w:pStyle w:val="28"/>
        <w:bidi w:val="0"/>
        <w:outlineLvl w:val="2"/>
        <w:rPr>
          <w:rFonts w:hint="default"/>
          <w:lang w:val="en-US" w:eastAsia="zh-CN"/>
        </w:rPr>
      </w:pPr>
      <w:bookmarkStart w:id="147" w:name="_Toc7612"/>
      <w:bookmarkStart w:id="148" w:name="_Toc30956"/>
      <w:r>
        <w:rPr>
          <w:rFonts w:hint="eastAsia"/>
          <w:lang w:val="en-US" w:eastAsia="zh-CN"/>
        </w:rPr>
        <w:t>数据导入导出安全</w:t>
      </w:r>
      <w:bookmarkEnd w:id="147"/>
      <w:bookmarkEnd w:id="148"/>
    </w:p>
    <w:p>
      <w:pPr>
        <w:rPr>
          <w:rFonts w:hint="default"/>
          <w:lang w:val="en-US" w:eastAsia="zh-CN"/>
        </w:rPr>
      </w:pPr>
      <w:r>
        <w:rPr>
          <w:rFonts w:hint="eastAsia" w:cs="Times New Roman"/>
          <w:lang w:val="en-US" w:eastAsia="zh-CN"/>
        </w:rPr>
        <w:t>工业数据导入导出应满足如下要求：</w:t>
      </w:r>
    </w:p>
    <w:p>
      <w:pPr>
        <w:pStyle w:val="26"/>
        <w:numPr>
          <w:ilvl w:val="0"/>
          <w:numId w:val="29"/>
        </w:numPr>
        <w:spacing w:line="360" w:lineRule="auto"/>
        <w:ind w:left="840" w:hanging="420" w:firstLineChars="0"/>
        <w:rPr>
          <w:rFonts w:hint="default" w:cs="Times New Roman"/>
          <w:lang w:val="en-US" w:eastAsia="zh-CN"/>
        </w:rPr>
      </w:pPr>
      <w:r>
        <w:rPr>
          <w:rFonts w:hint="eastAsia" w:cs="Times New Roman"/>
          <w:lang w:val="en-US" w:eastAsia="zh-CN"/>
        </w:rPr>
        <w:t>应</w:t>
      </w:r>
      <w:r>
        <w:rPr>
          <w:rFonts w:hint="default" w:cs="Times New Roman"/>
          <w:lang w:val="en-US" w:eastAsia="zh-CN"/>
        </w:rPr>
        <w:t>设立数据导入导出安全管理部门，负责提供必要的技术支持，负责导入导出数据的安全，负责制定整体的数据导入导出制度，并推动相关要求在组织内业务中确实可靠的落地执行</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在进行数据导入导出操作之前，操作人员</w:t>
      </w:r>
      <w:r>
        <w:rPr>
          <w:rFonts w:hint="eastAsia" w:cs="Times New Roman"/>
          <w:lang w:val="en-US" w:eastAsia="zh-CN"/>
        </w:rPr>
        <w:t>应</w:t>
      </w:r>
      <w:r>
        <w:rPr>
          <w:rFonts w:hint="default" w:cs="Times New Roman"/>
          <w:lang w:val="en-US" w:eastAsia="zh-CN"/>
        </w:rPr>
        <w:t>明确数据导入导出的目的，范围，内容和格式等</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在明确数据导入导出的目的之后，</w:t>
      </w:r>
      <w:r>
        <w:rPr>
          <w:rFonts w:hint="eastAsia" w:cs="Times New Roman"/>
          <w:lang w:val="en-US" w:eastAsia="zh-CN"/>
        </w:rPr>
        <w:t>应</w:t>
      </w:r>
      <w:r>
        <w:rPr>
          <w:rFonts w:hint="default" w:cs="Times New Roman"/>
          <w:lang w:val="en-US" w:eastAsia="zh-CN"/>
        </w:rPr>
        <w:t>向数据导入导出安全管理部门</w:t>
      </w:r>
      <w:r>
        <w:rPr>
          <w:rFonts w:hint="eastAsia" w:cs="Times New Roman"/>
          <w:lang w:val="en-US" w:eastAsia="zh-CN"/>
        </w:rPr>
        <w:t>提出申请；</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数据导入导出安全管理部门在收到</w:t>
      </w:r>
      <w:r>
        <w:rPr>
          <w:rFonts w:hint="eastAsia" w:cs="Times New Roman"/>
          <w:lang w:val="en-US" w:eastAsia="zh-CN"/>
        </w:rPr>
        <w:t>数据导入导出申请</w:t>
      </w:r>
      <w:r>
        <w:rPr>
          <w:rFonts w:hint="default" w:cs="Times New Roman"/>
          <w:lang w:val="en-US" w:eastAsia="zh-CN"/>
        </w:rPr>
        <w:t>后</w:t>
      </w:r>
      <w:r>
        <w:rPr>
          <w:rFonts w:hint="eastAsia" w:cs="Times New Roman"/>
          <w:lang w:val="en-US" w:eastAsia="zh-CN"/>
        </w:rPr>
        <w:t>，应对所申请的数据导入导出范围及内容进行风险评估及合规性审查等工作；</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当导出数据中的内容包含个人信息时，</w:t>
      </w:r>
      <w:r>
        <w:rPr>
          <w:rFonts w:hint="eastAsia" w:cs="Times New Roman"/>
          <w:lang w:val="en-US" w:eastAsia="zh-CN"/>
        </w:rPr>
        <w:t>应</w:t>
      </w:r>
      <w:r>
        <w:rPr>
          <w:rFonts w:hint="default" w:cs="Times New Roman"/>
          <w:lang w:val="en-US" w:eastAsia="zh-CN"/>
        </w:rPr>
        <w:t>先征得个人信息主体的明示同意</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数据导入导出安全管理部门在授权过程中应采取“最小够用”原则，即为数据使用者提供完成业务处理活动所需的最小数据集</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数据导入导出安全管理部门</w:t>
      </w:r>
      <w:r>
        <w:rPr>
          <w:rFonts w:hint="eastAsia" w:cs="Times New Roman"/>
          <w:lang w:val="en-US" w:eastAsia="zh-CN"/>
        </w:rPr>
        <w:t>应</w:t>
      </w:r>
      <w:r>
        <w:rPr>
          <w:rFonts w:hint="default" w:cs="Times New Roman"/>
          <w:lang w:val="en-US" w:eastAsia="zh-CN"/>
        </w:rPr>
        <w:t>对导入导出数据的范围和内容</w:t>
      </w:r>
      <w:r>
        <w:rPr>
          <w:rFonts w:hint="eastAsia" w:cs="Times New Roman"/>
          <w:lang w:val="en-US" w:eastAsia="zh-CN"/>
        </w:rPr>
        <w:t>进行</w:t>
      </w:r>
      <w:r>
        <w:rPr>
          <w:rFonts w:hint="default" w:cs="Times New Roman"/>
          <w:lang w:val="en-US" w:eastAsia="zh-CN"/>
        </w:rPr>
        <w:t>审查，</w:t>
      </w:r>
      <w:r>
        <w:rPr>
          <w:rFonts w:hint="eastAsia" w:cs="Times New Roman"/>
          <w:lang w:val="en-US" w:eastAsia="zh-CN"/>
        </w:rPr>
        <w:t>确认无误后</w:t>
      </w:r>
      <w:r>
        <w:rPr>
          <w:rFonts w:hint="default" w:cs="Times New Roman"/>
          <w:lang w:val="en-US" w:eastAsia="zh-CN"/>
        </w:rPr>
        <w:t>方可对数据使用者进行授权</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数据导入导出安全管理部门</w:t>
      </w:r>
      <w:r>
        <w:rPr>
          <w:rFonts w:hint="eastAsia" w:cs="Times New Roman"/>
          <w:lang w:val="en-US" w:eastAsia="zh-CN"/>
        </w:rPr>
        <w:t>应</w:t>
      </w:r>
      <w:r>
        <w:rPr>
          <w:rFonts w:hint="default" w:cs="Times New Roman"/>
          <w:lang w:val="en-US" w:eastAsia="zh-CN"/>
        </w:rPr>
        <w:t>设置负责数据导入导出工作的专职人员，并对数据导入导出安全负责</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对数据导入导出的专职人员采取必要的认证措施，防止假冒</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对导入导出的数据采取必要的安全技术措施，如木马检测，加密传输，加密存储，完整性校验等，以确保导入导出数据的安全性</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对导入导出的数据进行机器和人工双重校验，以保证数据的完整性和可用性</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对导出数据的存储介质进行标识，明确介质的命名规则，统一编号格式，定期对数据的完整性和可用性进行验证</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导出的数据存储介质的存放环境应有防火，防盗，防水，防尘，防震，防腐蚀及防静电等措施，防止其被盗，被毁，被未授权修改，以及其中所存信息的非法泄露</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如果导出的数据将不再使用，</w:t>
      </w:r>
      <w:r>
        <w:rPr>
          <w:rFonts w:hint="eastAsia" w:cs="Times New Roman"/>
          <w:lang w:val="en-US" w:eastAsia="zh-CN"/>
        </w:rPr>
        <w:t>应</w:t>
      </w:r>
      <w:r>
        <w:rPr>
          <w:rFonts w:hint="default" w:cs="Times New Roman"/>
          <w:lang w:val="en-US" w:eastAsia="zh-CN"/>
        </w:rPr>
        <w:t>销毁</w:t>
      </w:r>
      <w:r>
        <w:rPr>
          <w:rFonts w:hint="eastAsia" w:cs="Times New Roman"/>
          <w:lang w:val="en-US" w:eastAsia="zh-CN"/>
        </w:rPr>
        <w:t>该数据</w:t>
      </w:r>
      <w:r>
        <w:rPr>
          <w:rFonts w:hint="default" w:cs="Times New Roman"/>
          <w:lang w:val="en-US" w:eastAsia="zh-CN"/>
        </w:rPr>
        <w:t>，以避免数据泄露</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在数据导入导出的各个阶段都</w:t>
      </w:r>
      <w:r>
        <w:rPr>
          <w:rFonts w:hint="eastAsia" w:cs="Times New Roman"/>
          <w:lang w:val="en-US" w:eastAsia="zh-CN"/>
        </w:rPr>
        <w:t>应</w:t>
      </w:r>
      <w:r>
        <w:rPr>
          <w:rFonts w:hint="default" w:cs="Times New Roman"/>
          <w:lang w:val="en-US" w:eastAsia="zh-CN"/>
        </w:rPr>
        <w:t>加入安全审计机制，严格，详细地记录数据导入导出过程中的相关信息，形成完整的数据导入导出记录</w:t>
      </w:r>
      <w:r>
        <w:rPr>
          <w:rFonts w:hint="eastAsia" w:cs="Times New Roman"/>
          <w:lang w:val="en-US" w:eastAsia="zh-CN"/>
        </w:rPr>
        <w:t>；</w:t>
      </w:r>
    </w:p>
    <w:p>
      <w:pPr>
        <w:pStyle w:val="26"/>
        <w:numPr>
          <w:ilvl w:val="0"/>
          <w:numId w:val="29"/>
        </w:numPr>
        <w:spacing w:line="360" w:lineRule="auto"/>
        <w:ind w:left="840" w:hanging="420" w:firstLineChars="0"/>
        <w:rPr>
          <w:rFonts w:hint="default" w:cs="Times New Roman"/>
          <w:lang w:val="en-US" w:eastAsia="zh-CN"/>
        </w:rPr>
      </w:pPr>
      <w:r>
        <w:rPr>
          <w:rFonts w:hint="default" w:cs="Times New Roman"/>
          <w:lang w:val="en-US" w:eastAsia="zh-CN"/>
        </w:rPr>
        <w:t>数据导入导出安全管理部门</w:t>
      </w:r>
      <w:r>
        <w:rPr>
          <w:rFonts w:hint="eastAsia" w:cs="Times New Roman"/>
          <w:lang w:val="en-US" w:eastAsia="zh-CN"/>
        </w:rPr>
        <w:t>应</w:t>
      </w:r>
      <w:r>
        <w:rPr>
          <w:rFonts w:hint="default" w:cs="Times New Roman"/>
          <w:lang w:val="en-US" w:eastAsia="zh-CN"/>
        </w:rPr>
        <w:t>设置专人定期对数据导入导出相关的日志记录进行安全审计，发布审计报告，并跟进审计中发现的异常问题。</w:t>
      </w:r>
    </w:p>
    <w:p>
      <w:pPr>
        <w:pStyle w:val="27"/>
        <w:spacing w:before="312" w:after="312" w:line="360" w:lineRule="auto"/>
        <w:outlineLvl w:val="1"/>
        <w:rPr>
          <w:rFonts w:hint="default" w:hAnsi="Times New Roman" w:cs="Times New Roman"/>
          <w:color w:val="auto"/>
          <w:highlight w:val="none"/>
          <w:lang w:val="en-US" w:eastAsia="zh-CN"/>
        </w:rPr>
      </w:pPr>
      <w:bookmarkStart w:id="149" w:name="_Toc5014"/>
      <w:bookmarkStart w:id="150" w:name="_Toc7450"/>
      <w:r>
        <w:rPr>
          <w:rFonts w:hint="eastAsia" w:hAnsi="黑体" w:cs="Times New Roman"/>
          <w:color w:val="auto"/>
          <w:szCs w:val="21"/>
          <w:highlight w:val="none"/>
          <w:lang w:val="en-US" w:eastAsia="zh-CN"/>
        </w:rPr>
        <w:t>数据流通</w:t>
      </w:r>
      <w:bookmarkEnd w:id="149"/>
      <w:bookmarkEnd w:id="150"/>
    </w:p>
    <w:p>
      <w:pPr>
        <w:pStyle w:val="28"/>
        <w:bidi w:val="0"/>
        <w:outlineLvl w:val="2"/>
        <w:rPr>
          <w:rFonts w:hint="eastAsia"/>
          <w:lang w:val="en-US" w:eastAsia="zh-CN"/>
        </w:rPr>
      </w:pPr>
      <w:bookmarkStart w:id="151" w:name="_Toc1935"/>
      <w:bookmarkStart w:id="152" w:name="_Toc2586"/>
      <w:r>
        <w:rPr>
          <w:rFonts w:hint="eastAsia"/>
          <w:lang w:val="en-US" w:eastAsia="zh-CN"/>
        </w:rPr>
        <w:t>数据共享安全</w:t>
      </w:r>
      <w:bookmarkEnd w:id="151"/>
      <w:bookmarkEnd w:id="152"/>
    </w:p>
    <w:p>
      <w:pPr>
        <w:rPr>
          <w:rFonts w:hint="default"/>
          <w:lang w:val="en-US" w:eastAsia="zh-CN"/>
        </w:rPr>
      </w:pPr>
      <w:r>
        <w:rPr>
          <w:rFonts w:hint="eastAsia" w:cs="Times New Roman"/>
          <w:lang w:val="en-US" w:eastAsia="zh-CN"/>
        </w:rPr>
        <w:t>工业数据共享应满足如下要求：</w:t>
      </w:r>
    </w:p>
    <w:p>
      <w:pPr>
        <w:pStyle w:val="26"/>
        <w:numPr>
          <w:ilvl w:val="0"/>
          <w:numId w:val="30"/>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设立数据交换安全管理部门，负责为数据交换提供必要的技术支持，负责制定整体的数据共享安全策略及安全规范，负责为技术人员制定数据共享审计策略和审计日志管理规范，并推动相关要求确实可靠的落地执行；</w:t>
      </w:r>
    </w:p>
    <w:p>
      <w:pPr>
        <w:pStyle w:val="26"/>
        <w:numPr>
          <w:ilvl w:val="0"/>
          <w:numId w:val="30"/>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应明确数据共享的安全规范，从国家安全、组织机构的核心价值保护、个人信息保护等方面对数据共享的风险控制提出要求</w:t>
      </w:r>
      <w:r>
        <w:rPr>
          <w:rFonts w:hint="eastAsia" w:hAnsi="Times New Roman" w:cs="Times New Roman"/>
          <w:lang w:val="en-US" w:eastAsia="zh-CN"/>
        </w:rPr>
        <w:t>；</w:t>
      </w:r>
    </w:p>
    <w:p>
      <w:pPr>
        <w:pStyle w:val="26"/>
        <w:numPr>
          <w:ilvl w:val="0"/>
          <w:numId w:val="30"/>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明确相应的权限审批和授权流程，并根据不同场景下数据共享制定细化的规范要求，以降低数据共享场景下的安全风险</w:t>
      </w:r>
      <w:r>
        <w:rPr>
          <w:rFonts w:hint="eastAsia" w:hAnsi="Times New Roman" w:cs="Times New Roman"/>
          <w:lang w:val="en-US" w:eastAsia="zh-CN"/>
        </w:rPr>
        <w:t>；</w:t>
      </w:r>
    </w:p>
    <w:p>
      <w:pPr>
        <w:pStyle w:val="26"/>
        <w:numPr>
          <w:ilvl w:val="0"/>
          <w:numId w:val="30"/>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应建立数据共享的审核流程，包括共享的数据内容、涉及的部门和组织、授权审批同意/否决、归档记录等；</w:t>
      </w:r>
    </w:p>
    <w:p>
      <w:pPr>
        <w:pStyle w:val="26"/>
        <w:numPr>
          <w:ilvl w:val="0"/>
          <w:numId w:val="30"/>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数据共享前应提出数据共享申请，明确数据共享所涉及的数据范围、内容及格式等；</w:t>
      </w:r>
    </w:p>
    <w:p>
      <w:pPr>
        <w:pStyle w:val="26"/>
        <w:numPr>
          <w:ilvl w:val="0"/>
          <w:numId w:val="30"/>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数据交换安全管理部门在收到数据共享申请后，要对数据共享所涉及的数据范围、内容及格式等进行评估；</w:t>
      </w:r>
    </w:p>
    <w:p>
      <w:pPr>
        <w:pStyle w:val="26"/>
        <w:numPr>
          <w:ilvl w:val="0"/>
          <w:numId w:val="30"/>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应设置专门的人员负责数据共享，并对数据共享安全负责；</w:t>
      </w:r>
    </w:p>
    <w:p>
      <w:pPr>
        <w:pStyle w:val="26"/>
        <w:numPr>
          <w:ilvl w:val="0"/>
          <w:numId w:val="30"/>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应在数据共享的各个阶段加入安全审计机制，严格、详细地记录并保存数据共享的所有操作和行为；</w:t>
      </w:r>
    </w:p>
    <w:p>
      <w:pPr>
        <w:pStyle w:val="26"/>
        <w:numPr>
          <w:ilvl w:val="0"/>
          <w:numId w:val="30"/>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数据共享安全管理部门</w:t>
      </w:r>
      <w:r>
        <w:rPr>
          <w:rFonts w:hint="eastAsia" w:cs="Times New Roman"/>
          <w:lang w:val="en-US" w:eastAsia="zh-CN"/>
        </w:rPr>
        <w:t>应</w:t>
      </w:r>
      <w:r>
        <w:rPr>
          <w:rFonts w:hint="eastAsia" w:hAnsi="Times New Roman" w:cs="Times New Roman"/>
          <w:lang w:val="en-US" w:eastAsia="zh-CN"/>
        </w:rPr>
        <w:t>设置专人定期对数据共享相关的日志记录进行安全审计，发布审计报告，并跟进审计中发现的异常。</w:t>
      </w:r>
    </w:p>
    <w:p>
      <w:pPr>
        <w:pStyle w:val="28"/>
        <w:bidi w:val="0"/>
        <w:outlineLvl w:val="2"/>
        <w:rPr>
          <w:rFonts w:hint="eastAsia" w:cs="Times New Roman"/>
          <w:lang w:val="en-US" w:eastAsia="zh-CN"/>
        </w:rPr>
      </w:pPr>
      <w:bookmarkStart w:id="153" w:name="_Toc28087"/>
      <w:bookmarkStart w:id="154" w:name="_Toc8275"/>
      <w:r>
        <w:rPr>
          <w:rFonts w:hint="eastAsia" w:cs="Times New Roman"/>
          <w:lang w:val="en-US" w:eastAsia="zh-CN"/>
        </w:rPr>
        <w:t>数据开放安全</w:t>
      </w:r>
      <w:bookmarkEnd w:id="153"/>
      <w:bookmarkEnd w:id="154"/>
    </w:p>
    <w:p>
      <w:pPr>
        <w:rPr>
          <w:rFonts w:hint="eastAsia" w:cs="Times New Roman"/>
          <w:lang w:val="en-US" w:eastAsia="zh-CN"/>
        </w:rPr>
      </w:pPr>
      <w:r>
        <w:rPr>
          <w:rFonts w:hint="eastAsia" w:cs="Times New Roman"/>
          <w:lang w:val="en-US" w:eastAsia="zh-CN"/>
        </w:rPr>
        <w:t>工业数据开放应满足如下要求：</w:t>
      </w:r>
    </w:p>
    <w:p>
      <w:pPr>
        <w:numPr>
          <w:ilvl w:val="0"/>
          <w:numId w:val="3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应对工业数据按照数据开放属性进行分类。</w:t>
      </w:r>
    </w:p>
    <w:p>
      <w:pPr>
        <w:numPr>
          <w:ilvl w:val="0"/>
          <w:numId w:val="3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对于分类属性为禁止开放的数据，不得开放。</w:t>
      </w:r>
    </w:p>
    <w:p>
      <w:pPr>
        <w:numPr>
          <w:ilvl w:val="0"/>
          <w:numId w:val="3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对于分类属性为受限开放、无条件开放的数据应满足以下要求：</w:t>
      </w:r>
    </w:p>
    <w:p>
      <w:pPr>
        <w:pStyle w:val="26"/>
        <w:widowControl/>
        <w:numPr>
          <w:ilvl w:val="0"/>
          <w:numId w:val="32"/>
        </w:numPr>
        <w:tabs>
          <w:tab w:val="clear" w:pos="0"/>
        </w:tabs>
        <w:autoSpaceDE w:val="0"/>
        <w:autoSpaceDN w:val="0"/>
        <w:spacing w:line="360" w:lineRule="auto"/>
        <w:ind w:left="1259" w:leftChars="0" w:hanging="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在开放前，对开放的必要性、范围、规模、方式等进行分析研判。</w:t>
      </w:r>
    </w:p>
    <w:p>
      <w:pPr>
        <w:pStyle w:val="26"/>
        <w:widowControl/>
        <w:numPr>
          <w:ilvl w:val="0"/>
          <w:numId w:val="32"/>
        </w:numPr>
        <w:tabs>
          <w:tab w:val="clear" w:pos="0"/>
        </w:tabs>
        <w:autoSpaceDE w:val="0"/>
        <w:autoSpaceDN w:val="0"/>
        <w:spacing w:line="360" w:lineRule="auto"/>
        <w:ind w:left="1259" w:leftChars="0" w:hanging="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数据安全管理责任部门应会同业务部门，对拟开放数据的合规性、业务需求、数据脱敏方案等进行审核与审批，业务部门应对开放渠道、开放时间、拟开放数据的真实性，以及数据脱敏效果进行确认。</w:t>
      </w:r>
    </w:p>
    <w:p>
      <w:pPr>
        <w:pStyle w:val="26"/>
        <w:widowControl/>
        <w:numPr>
          <w:ilvl w:val="0"/>
          <w:numId w:val="32"/>
        </w:numPr>
        <w:tabs>
          <w:tab w:val="clear" w:pos="0"/>
        </w:tabs>
        <w:autoSpaceDE w:val="0"/>
        <w:autoSpaceDN w:val="0"/>
        <w:spacing w:line="360" w:lineRule="auto"/>
        <w:ind w:left="125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应采取合适方法对数据进行脱敏处理，保证工业数据开放安全。</w:t>
      </w:r>
    </w:p>
    <w:p>
      <w:pPr>
        <w:pStyle w:val="26"/>
        <w:widowControl/>
        <w:numPr>
          <w:ilvl w:val="0"/>
          <w:numId w:val="32"/>
        </w:numPr>
        <w:tabs>
          <w:tab w:val="clear" w:pos="0"/>
        </w:tabs>
        <w:autoSpaceDE w:val="0"/>
        <w:autoSpaceDN w:val="0"/>
        <w:spacing w:line="360" w:lineRule="auto"/>
        <w:ind w:left="1259" w:leftChars="0" w:hanging="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应确保工业数据开放内容的真实性、规范性、实效性和准确性。</w:t>
      </w:r>
    </w:p>
    <w:p>
      <w:pPr>
        <w:numPr>
          <w:ilvl w:val="0"/>
          <w:numId w:val="3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应采取数据水印等必要措施保证工业数据开放安全。</w:t>
      </w:r>
    </w:p>
    <w:p>
      <w:pPr>
        <w:numPr>
          <w:ilvl w:val="0"/>
          <w:numId w:val="3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在数据分类分级的基础上，建立工业数据开放管理制度，针对可对外公开和开放的数据进行开放前、开放中、开放后安全管理，具体包括开放前的数据内容、开放范围等审核，开放中对定期审查，以及开放后可能出现不良影响的应急处理机制。</w:t>
      </w:r>
    </w:p>
    <w:p>
      <w:pPr>
        <w:numPr>
          <w:ilvl w:val="0"/>
          <w:numId w:val="3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制定工业数据开放审核制度，包括数据待开放内容、涉及的部门和组织、审核批准/否决、工业数据开放应急处理流程等，确保开放内容是可以公开并且符合法律法规要求的。工业数据开放的审核由工业数据开放安全管理部门负责，严格审核和管理开放的数据，确保已开放数据的合法性、真实性、准确性。</w:t>
      </w:r>
    </w:p>
    <w:p>
      <w:pPr>
        <w:numPr>
          <w:ilvl w:val="0"/>
          <w:numId w:val="3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应采取密码技术措施对开放数据的机密性、完整性和可用性进行安全防护。如通过官网开放数据时，采取包括网页防篡改等技术，防范披露数据篡改风险。</w:t>
      </w:r>
    </w:p>
    <w:p>
      <w:pPr>
        <w:numPr>
          <w:ilvl w:val="0"/>
          <w:numId w:val="31"/>
        </w:numPr>
        <w:spacing w:line="360" w:lineRule="auto"/>
        <w:ind w:left="840" w:hanging="420"/>
        <w:rPr>
          <w:rFonts w:hint="eastAsia"/>
          <w:color w:val="auto"/>
          <w:highlight w:val="none"/>
          <w:lang w:val="en-US" w:eastAsia="zh-CN"/>
        </w:rPr>
      </w:pPr>
      <w:r>
        <w:rPr>
          <w:rFonts w:hint="eastAsia"/>
          <w:color w:val="auto"/>
          <w:highlight w:val="none"/>
          <w:lang w:val="en-US" w:eastAsia="zh-CN"/>
        </w:rPr>
        <w:t>对数据开放全链路各环节的权限最小化控制，如进行白名单控并对异常进程监控。</w:t>
      </w:r>
    </w:p>
    <w:p>
      <w:pPr>
        <w:numPr>
          <w:ilvl w:val="0"/>
          <w:numId w:val="31"/>
        </w:numPr>
        <w:ind w:left="840" w:hanging="420" w:firstLineChars="0"/>
        <w:rPr>
          <w:rFonts w:hint="eastAsia"/>
          <w:color w:val="auto"/>
          <w:highlight w:val="none"/>
          <w:lang w:val="en-US" w:eastAsia="zh-CN"/>
        </w:rPr>
      </w:pPr>
      <w:r>
        <w:rPr>
          <w:rFonts w:hint="eastAsia"/>
          <w:color w:val="auto"/>
          <w:highlight w:val="none"/>
          <w:lang w:val="en-US" w:eastAsia="zh-CN"/>
        </w:rPr>
        <w:t>应采取必要的防泄漏技术或手段，防止工业数据在开放过程中发生泄露。</w:t>
      </w:r>
    </w:p>
    <w:p>
      <w:pPr>
        <w:numPr>
          <w:ilvl w:val="0"/>
          <w:numId w:val="31"/>
        </w:numPr>
        <w:ind w:left="840" w:hanging="420" w:firstLineChars="0"/>
        <w:rPr>
          <w:rFonts w:hint="eastAsia"/>
          <w:color w:val="auto"/>
          <w:highlight w:val="none"/>
          <w:lang w:val="en-US" w:eastAsia="zh-CN"/>
        </w:rPr>
      </w:pPr>
      <w:r>
        <w:rPr>
          <w:rFonts w:hint="eastAsia"/>
          <w:color w:val="auto"/>
          <w:highlight w:val="none"/>
        </w:rPr>
        <w:t>原则上核心数据不允许开放。</w:t>
      </w:r>
    </w:p>
    <w:p>
      <w:pPr>
        <w:pStyle w:val="28"/>
        <w:spacing w:line="360" w:lineRule="auto"/>
        <w:outlineLvl w:val="2"/>
        <w:rPr>
          <w:rFonts w:hint="default"/>
          <w:lang w:val="en-US" w:eastAsia="zh-CN"/>
        </w:rPr>
      </w:pPr>
      <w:r>
        <w:rPr>
          <w:rFonts w:hint="eastAsia"/>
          <w:color w:val="auto"/>
          <w:highlight w:val="none"/>
          <w:lang w:val="en-US" w:eastAsia="zh-CN"/>
        </w:rPr>
        <w:t>数据交易安全</w:t>
      </w:r>
    </w:p>
    <w:p>
      <w:pPr>
        <w:pStyle w:val="29"/>
        <w:spacing w:line="360" w:lineRule="auto"/>
        <w:outlineLvl w:val="3"/>
        <w:rPr>
          <w:rFonts w:hint="default"/>
          <w:lang w:val="en-US" w:eastAsia="zh-CN"/>
        </w:rPr>
      </w:pPr>
      <w:r>
        <w:rPr>
          <w:rFonts w:hint="eastAsia"/>
          <w:lang w:val="en-US" w:eastAsia="zh-CN"/>
        </w:rPr>
        <w:t>交易申请</w:t>
      </w:r>
    </w:p>
    <w:p>
      <w:pPr>
        <w:pStyle w:val="26"/>
        <w:spacing w:line="360" w:lineRule="auto"/>
        <w:rPr>
          <w:rFonts w:hint="eastAsia"/>
          <w:lang w:val="en-US" w:eastAsia="zh-CN"/>
        </w:rPr>
      </w:pPr>
      <w:r>
        <w:rPr>
          <w:rFonts w:hint="eastAsia"/>
          <w:lang w:val="en-US" w:eastAsia="zh-CN"/>
        </w:rPr>
        <w:t>数据交易申请环节应满足如下要求：</w:t>
      </w:r>
    </w:p>
    <w:p>
      <w:pPr>
        <w:numPr>
          <w:ilvl w:val="0"/>
          <w:numId w:val="33"/>
        </w:numPr>
        <w:spacing w:line="360" w:lineRule="auto"/>
        <w:ind w:left="840" w:hanging="420" w:firstLineChars="0"/>
        <w:rPr>
          <w:rFonts w:hint="default"/>
          <w:color w:val="auto"/>
          <w:highlight w:val="none"/>
          <w:lang w:val="en-US" w:eastAsia="zh-CN"/>
        </w:rPr>
      </w:pPr>
      <w:r>
        <w:rPr>
          <w:rFonts w:hint="eastAsia"/>
          <w:color w:val="auto"/>
          <w:highlight w:val="none"/>
          <w:lang w:val="en-US" w:eastAsia="zh-CN"/>
        </w:rPr>
        <w:t>数据供方应明确界定交易数据的内容范围、使用范围，以确保符合国家相关法律法规的要求；</w:t>
      </w:r>
    </w:p>
    <w:p>
      <w:pPr>
        <w:numPr>
          <w:ilvl w:val="0"/>
          <w:numId w:val="33"/>
        </w:numPr>
        <w:spacing w:line="360" w:lineRule="auto"/>
        <w:ind w:left="840" w:hanging="420" w:firstLineChars="0"/>
        <w:rPr>
          <w:rFonts w:hint="default"/>
          <w:color w:val="auto"/>
          <w:highlight w:val="none"/>
          <w:lang w:val="en-US" w:eastAsia="zh-CN"/>
        </w:rPr>
      </w:pPr>
      <w:r>
        <w:rPr>
          <w:rFonts w:hint="eastAsia"/>
          <w:color w:val="auto"/>
          <w:highlight w:val="none"/>
          <w:lang w:val="en-US" w:eastAsia="zh-CN"/>
        </w:rPr>
        <w:t>数据供方应按数据交易服务机构要求,提供对交易数据的概要描述,并提供样本数据；</w:t>
      </w:r>
    </w:p>
    <w:p>
      <w:pPr>
        <w:numPr>
          <w:ilvl w:val="0"/>
          <w:numId w:val="33"/>
        </w:numPr>
        <w:spacing w:line="360" w:lineRule="auto"/>
        <w:ind w:left="840" w:hanging="420" w:firstLineChars="0"/>
        <w:rPr>
          <w:rFonts w:hint="default"/>
          <w:color w:val="auto"/>
          <w:highlight w:val="none"/>
          <w:lang w:val="en-US" w:eastAsia="zh-CN"/>
        </w:rPr>
      </w:pPr>
      <w:r>
        <w:rPr>
          <w:rFonts w:hint="eastAsia"/>
          <w:color w:val="auto"/>
          <w:highlight w:val="none"/>
          <w:lang w:val="en-US" w:eastAsia="zh-CN"/>
        </w:rPr>
        <w:t>数据交易服务机构对数据供方提供的样本数据进行内容审核,确认数据合法合规。对于不符合要求的,数据交易服务机构应要求数据供方重新提交样本数据进行审核；</w:t>
      </w:r>
    </w:p>
    <w:p>
      <w:pPr>
        <w:numPr>
          <w:ilvl w:val="0"/>
          <w:numId w:val="33"/>
        </w:numPr>
        <w:spacing w:line="360" w:lineRule="auto"/>
        <w:ind w:left="840" w:hanging="420" w:firstLineChars="0"/>
        <w:rPr>
          <w:rFonts w:hint="default"/>
          <w:color w:val="auto"/>
          <w:highlight w:val="none"/>
          <w:lang w:val="en-US" w:eastAsia="zh-CN"/>
        </w:rPr>
      </w:pPr>
      <w:r>
        <w:rPr>
          <w:rFonts w:hint="eastAsia"/>
          <w:color w:val="auto"/>
          <w:highlight w:val="none"/>
          <w:lang w:val="en-US" w:eastAsia="zh-CN"/>
        </w:rPr>
        <w:t>数据需方应披露数据需求内容、数据用途，以确保符合国家法律法规的要求；</w:t>
      </w:r>
    </w:p>
    <w:p>
      <w:pPr>
        <w:numPr>
          <w:ilvl w:val="0"/>
          <w:numId w:val="33"/>
        </w:numPr>
        <w:spacing w:line="360" w:lineRule="auto"/>
        <w:ind w:left="840" w:hanging="420" w:firstLineChars="0"/>
        <w:rPr>
          <w:rFonts w:hint="default"/>
          <w:color w:val="auto"/>
          <w:highlight w:val="none"/>
          <w:lang w:val="en-US" w:eastAsia="zh-CN"/>
        </w:rPr>
      </w:pPr>
      <w:r>
        <w:rPr>
          <w:rFonts w:hint="eastAsia"/>
          <w:color w:val="auto"/>
          <w:highlight w:val="none"/>
          <w:lang w:val="en-US" w:eastAsia="zh-CN"/>
        </w:rPr>
        <w:t>数据交易服务机构对数据需方的数据需求进行审核通过后方可发布。</w:t>
      </w:r>
    </w:p>
    <w:p>
      <w:pPr>
        <w:pStyle w:val="29"/>
        <w:spacing w:line="360" w:lineRule="auto"/>
        <w:outlineLvl w:val="3"/>
        <w:rPr>
          <w:rFonts w:hint="default"/>
          <w:lang w:val="en-US" w:eastAsia="zh-CN"/>
        </w:rPr>
      </w:pPr>
      <w:r>
        <w:rPr>
          <w:rFonts w:hint="eastAsia"/>
          <w:color w:val="auto"/>
          <w:highlight w:val="none"/>
          <w:lang w:val="en-US" w:eastAsia="zh-CN"/>
        </w:rPr>
        <w:t>交易磋商</w:t>
      </w:r>
    </w:p>
    <w:p>
      <w:pPr>
        <w:pStyle w:val="26"/>
        <w:spacing w:line="360" w:lineRule="auto"/>
        <w:rPr>
          <w:rFonts w:hint="eastAsia"/>
          <w:lang w:val="en-US" w:eastAsia="zh-CN"/>
        </w:rPr>
      </w:pPr>
      <w:r>
        <w:rPr>
          <w:rFonts w:hint="eastAsia"/>
          <w:lang w:val="en-US" w:eastAsia="zh-CN"/>
        </w:rPr>
        <w:t>数据交易磋商环节应满足如下要求：</w:t>
      </w:r>
    </w:p>
    <w:p>
      <w:pPr>
        <w:numPr>
          <w:ilvl w:val="0"/>
          <w:numId w:val="34"/>
        </w:numPr>
        <w:spacing w:line="360" w:lineRule="auto"/>
        <w:ind w:left="840" w:hanging="420" w:firstLineChars="0"/>
        <w:rPr>
          <w:rFonts w:hint="eastAsia"/>
          <w:color w:val="auto"/>
          <w:highlight w:val="none"/>
          <w:lang w:val="en-US" w:eastAsia="zh-CN"/>
        </w:rPr>
      </w:pPr>
      <w:r>
        <w:rPr>
          <w:rFonts w:hint="eastAsia"/>
          <w:color w:val="auto"/>
          <w:highlight w:val="none"/>
          <w:lang w:val="en-US" w:eastAsia="zh-CN"/>
        </w:rPr>
        <w:t>供需双方应对交易数据的用途、使用范围、交易方式、使用期限和交易价格等协商和约定,形成交易订单；</w:t>
      </w:r>
    </w:p>
    <w:p>
      <w:pPr>
        <w:numPr>
          <w:ilvl w:val="0"/>
          <w:numId w:val="34"/>
        </w:numPr>
        <w:spacing w:line="360" w:lineRule="auto"/>
        <w:ind w:left="840" w:hanging="420" w:firstLineChars="0"/>
        <w:rPr>
          <w:rFonts w:hint="default"/>
          <w:color w:val="auto"/>
          <w:highlight w:val="none"/>
          <w:lang w:val="en-US" w:eastAsia="zh-CN"/>
        </w:rPr>
      </w:pPr>
      <w:r>
        <w:rPr>
          <w:rFonts w:hint="eastAsia"/>
          <w:color w:val="auto"/>
          <w:highlight w:val="none"/>
          <w:lang w:val="en-US" w:eastAsia="zh-CN"/>
        </w:rPr>
        <w:t>数据交易服务机构应遵循国家法律,对交易订单从数据出境安全、个人信息保护安全等方面进行审核,确保符合相关法律法规和标准等合规性要求,撤销不符合要求的交易订单；</w:t>
      </w:r>
    </w:p>
    <w:p>
      <w:pPr>
        <w:numPr>
          <w:ilvl w:val="0"/>
          <w:numId w:val="34"/>
        </w:numPr>
        <w:spacing w:line="360" w:lineRule="auto"/>
        <w:ind w:left="840" w:hanging="420" w:firstLineChars="0"/>
        <w:rPr>
          <w:rFonts w:hint="default"/>
          <w:color w:val="auto"/>
          <w:highlight w:val="none"/>
          <w:lang w:val="en-US" w:eastAsia="zh-CN"/>
        </w:rPr>
      </w:pPr>
      <w:r>
        <w:rPr>
          <w:rFonts w:hint="eastAsia"/>
          <w:color w:val="auto"/>
          <w:highlight w:val="none"/>
          <w:lang w:val="en-US" w:eastAsia="zh-CN"/>
        </w:rPr>
        <w:t>数据交易服务机构应对审核通过的订单进行登记备案，并对供需双方发出交易确认通知。</w:t>
      </w:r>
    </w:p>
    <w:p>
      <w:pPr>
        <w:pStyle w:val="29"/>
        <w:spacing w:line="360" w:lineRule="auto"/>
        <w:outlineLvl w:val="3"/>
        <w:rPr>
          <w:rFonts w:hint="default"/>
          <w:lang w:val="en-US" w:eastAsia="zh-CN"/>
        </w:rPr>
      </w:pPr>
      <w:r>
        <w:rPr>
          <w:rFonts w:hint="eastAsia"/>
          <w:lang w:val="en-US" w:eastAsia="zh-CN"/>
        </w:rPr>
        <w:t>交易实施</w:t>
      </w:r>
    </w:p>
    <w:p>
      <w:pPr>
        <w:pStyle w:val="26"/>
        <w:spacing w:line="360" w:lineRule="auto"/>
        <w:rPr>
          <w:rFonts w:hint="eastAsia"/>
          <w:lang w:val="en-US" w:eastAsia="zh-CN"/>
        </w:rPr>
      </w:pPr>
      <w:r>
        <w:rPr>
          <w:rFonts w:hint="eastAsia"/>
          <w:lang w:val="en-US" w:eastAsia="zh-CN"/>
        </w:rPr>
        <w:t>数据交易实施环节应满足如下要求：</w:t>
      </w:r>
    </w:p>
    <w:p>
      <w:pPr>
        <w:numPr>
          <w:ilvl w:val="0"/>
          <w:numId w:val="35"/>
        </w:numPr>
        <w:spacing w:line="360" w:lineRule="auto"/>
        <w:ind w:left="840" w:hanging="420" w:firstLineChars="0"/>
        <w:rPr>
          <w:rFonts w:hint="eastAsia"/>
          <w:color w:val="auto"/>
          <w:highlight w:val="none"/>
          <w:lang w:val="en-US" w:eastAsia="zh-CN"/>
        </w:rPr>
      </w:pPr>
      <w:r>
        <w:rPr>
          <w:rFonts w:hint="eastAsia"/>
          <w:color w:val="auto"/>
          <w:highlight w:val="none"/>
          <w:lang w:val="en-US" w:eastAsia="zh-CN"/>
        </w:rPr>
        <w:t>数据交易服务机构应审核数据需方的数据安全能力成熟度，确保不低于数据供方的数据安全能力成熟度；</w:t>
      </w:r>
    </w:p>
    <w:p>
      <w:pPr>
        <w:numPr>
          <w:ilvl w:val="0"/>
          <w:numId w:val="35"/>
        </w:numPr>
        <w:spacing w:line="360" w:lineRule="auto"/>
        <w:ind w:left="840" w:hanging="420" w:firstLineChars="0"/>
        <w:rPr>
          <w:rFonts w:hint="eastAsia"/>
          <w:color w:val="auto"/>
          <w:highlight w:val="none"/>
          <w:lang w:val="en-US" w:eastAsia="zh-CN"/>
        </w:rPr>
      </w:pPr>
      <w:r>
        <w:rPr>
          <w:rFonts w:hint="eastAsia"/>
          <w:color w:val="auto"/>
          <w:highlight w:val="none"/>
          <w:lang w:val="en-US" w:eastAsia="zh-CN"/>
        </w:rPr>
        <w:t>数据交易服务机构应为数据交易与数据供方和数据需方签订三方合同,明确数据内容、数据用途、交付质量、交付方式、交易金额、交易参与方安全责任、保密条款等内容；</w:t>
      </w:r>
    </w:p>
    <w:p>
      <w:pPr>
        <w:numPr>
          <w:ilvl w:val="0"/>
          <w:numId w:val="35"/>
        </w:numPr>
        <w:spacing w:line="360" w:lineRule="auto"/>
        <w:ind w:left="840" w:hanging="420" w:firstLineChars="0"/>
        <w:rPr>
          <w:rFonts w:hint="eastAsia"/>
          <w:color w:val="auto"/>
          <w:highlight w:val="none"/>
          <w:lang w:val="en-US" w:eastAsia="zh-CN"/>
        </w:rPr>
      </w:pPr>
      <w:r>
        <w:rPr>
          <w:rFonts w:hint="eastAsia"/>
          <w:color w:val="auto"/>
          <w:highlight w:val="none"/>
          <w:lang w:val="en-US" w:eastAsia="zh-CN"/>
        </w:rPr>
        <w:t>数据交易服务机构应对交付数据内容进行监测和核验,如发现违法违规事件,应及时中断数据交易行为，同时依法依规进行处理；</w:t>
      </w:r>
    </w:p>
    <w:p>
      <w:pPr>
        <w:numPr>
          <w:ilvl w:val="0"/>
          <w:numId w:val="35"/>
        </w:numPr>
        <w:spacing w:line="360" w:lineRule="auto"/>
        <w:ind w:left="840" w:hanging="420" w:firstLineChars="0"/>
        <w:rPr>
          <w:rFonts w:hint="eastAsia"/>
          <w:color w:val="auto"/>
          <w:highlight w:val="none"/>
          <w:lang w:val="en-US" w:eastAsia="zh-CN"/>
        </w:rPr>
      </w:pPr>
      <w:r>
        <w:rPr>
          <w:rFonts w:hint="eastAsia"/>
          <w:color w:val="auto"/>
          <w:highlight w:val="none"/>
          <w:lang w:val="en-US" w:eastAsia="zh-CN"/>
        </w:rPr>
        <w:t>数据交易服务机构应对交易过程中的违法违规数据具有追溯能力；</w:t>
      </w:r>
    </w:p>
    <w:p>
      <w:pPr>
        <w:numPr>
          <w:ilvl w:val="0"/>
          <w:numId w:val="35"/>
        </w:numPr>
        <w:spacing w:line="360" w:lineRule="auto"/>
        <w:ind w:left="840" w:hanging="420" w:firstLineChars="0"/>
        <w:rPr>
          <w:rFonts w:hint="eastAsia"/>
          <w:color w:val="auto"/>
          <w:highlight w:val="none"/>
          <w:lang w:val="en-US" w:eastAsia="zh-CN"/>
        </w:rPr>
      </w:pPr>
      <w:r>
        <w:rPr>
          <w:rFonts w:hint="eastAsia"/>
          <w:color w:val="auto"/>
          <w:highlight w:val="none"/>
          <w:lang w:val="en-US" w:eastAsia="zh-CN"/>
        </w:rPr>
        <w:t>对于在线数据交付模式,数据交易服务机构应在供需双方的数据传输链路上部署交易数据监控工具，具有完备的数据保护机制和数据泄露检测能力；</w:t>
      </w:r>
    </w:p>
    <w:p>
      <w:pPr>
        <w:numPr>
          <w:ilvl w:val="0"/>
          <w:numId w:val="35"/>
        </w:numPr>
        <w:spacing w:line="360" w:lineRule="auto"/>
        <w:ind w:left="840" w:hanging="420" w:firstLineChars="0"/>
        <w:rPr>
          <w:rFonts w:hint="eastAsia"/>
          <w:color w:val="auto"/>
          <w:highlight w:val="none"/>
          <w:lang w:val="en-US" w:eastAsia="zh-CN"/>
        </w:rPr>
      </w:pPr>
      <w:r>
        <w:rPr>
          <w:rFonts w:hint="eastAsia"/>
          <w:color w:val="auto"/>
          <w:highlight w:val="none"/>
          <w:lang w:val="en-US" w:eastAsia="zh-CN"/>
        </w:rPr>
        <w:t>对于托管数据交付模式,数据交易服务机构应为数据需方建立安全的数据使用环境,并分配相应的权限；</w:t>
      </w:r>
    </w:p>
    <w:p>
      <w:pPr>
        <w:numPr>
          <w:ilvl w:val="0"/>
          <w:numId w:val="35"/>
        </w:numPr>
        <w:spacing w:line="360" w:lineRule="auto"/>
        <w:ind w:left="840" w:hanging="420" w:firstLineChars="0"/>
        <w:rPr>
          <w:rFonts w:hint="eastAsia"/>
          <w:color w:val="auto"/>
          <w:highlight w:val="none"/>
          <w:lang w:val="en-US" w:eastAsia="zh-CN"/>
        </w:rPr>
      </w:pPr>
      <w:r>
        <w:rPr>
          <w:rFonts w:hint="eastAsia"/>
          <w:color w:val="auto"/>
          <w:highlight w:val="none"/>
          <w:lang w:val="en-US" w:eastAsia="zh-CN"/>
        </w:rPr>
        <w:t>数据供方在数据需方未完全获取数据内容前,有义务保证交易数据质量和数量符合数据成交9时的相关描述；</w:t>
      </w:r>
    </w:p>
    <w:p>
      <w:pPr>
        <w:numPr>
          <w:ilvl w:val="0"/>
          <w:numId w:val="35"/>
        </w:numPr>
        <w:spacing w:line="360" w:lineRule="auto"/>
        <w:ind w:left="840" w:hanging="420" w:firstLineChars="0"/>
        <w:rPr>
          <w:rFonts w:hint="default"/>
          <w:color w:val="auto"/>
          <w:highlight w:val="none"/>
          <w:lang w:val="en-US" w:eastAsia="zh-CN"/>
        </w:rPr>
      </w:pPr>
      <w:r>
        <w:rPr>
          <w:rFonts w:hint="eastAsia"/>
          <w:color w:val="auto"/>
          <w:highlight w:val="none"/>
          <w:lang w:val="en-US" w:eastAsia="zh-CN"/>
        </w:rPr>
        <w:t>在托管数据交付模式下,数据需方在数据使用完成后，应向数据交易服务平台提供提取结果数据请求，核准后由数据交易服务平台发放给数据需方。</w:t>
      </w:r>
    </w:p>
    <w:p>
      <w:pPr>
        <w:pStyle w:val="29"/>
        <w:outlineLvl w:val="3"/>
        <w:rPr>
          <w:rFonts w:hint="default"/>
          <w:lang w:val="en-US" w:eastAsia="zh-CN"/>
        </w:rPr>
      </w:pPr>
      <w:r>
        <w:rPr>
          <w:rFonts w:hint="eastAsia"/>
          <w:lang w:val="en-US" w:eastAsia="zh-CN"/>
        </w:rPr>
        <w:t>交易结束</w:t>
      </w:r>
    </w:p>
    <w:p>
      <w:pPr>
        <w:pStyle w:val="26"/>
        <w:spacing w:line="360" w:lineRule="auto"/>
        <w:rPr>
          <w:rFonts w:hint="eastAsia"/>
          <w:lang w:val="en-US" w:eastAsia="zh-CN"/>
        </w:rPr>
      </w:pPr>
      <w:r>
        <w:rPr>
          <w:rFonts w:hint="eastAsia"/>
          <w:lang w:val="en-US" w:eastAsia="zh-CN"/>
        </w:rPr>
        <w:t>数据交易结束环节应满足如下要求：</w:t>
      </w:r>
    </w:p>
    <w:p>
      <w:pPr>
        <w:numPr>
          <w:ilvl w:val="0"/>
          <w:numId w:val="36"/>
        </w:numPr>
        <w:spacing w:line="360" w:lineRule="auto"/>
        <w:ind w:left="840" w:hanging="420" w:firstLineChars="0"/>
        <w:rPr>
          <w:rFonts w:hint="eastAsia"/>
          <w:color w:val="auto"/>
          <w:highlight w:val="none"/>
          <w:lang w:val="en-US" w:eastAsia="zh-CN"/>
        </w:rPr>
      </w:pPr>
      <w:r>
        <w:rPr>
          <w:rFonts w:hint="eastAsia"/>
          <w:color w:val="auto"/>
          <w:highlight w:val="none"/>
          <w:lang w:val="en-US" w:eastAsia="zh-CN"/>
        </w:rPr>
        <w:t>数据交付完成后,数据供方应立即关闭数据访问接口,数据供方发出数据交付完成确认；</w:t>
      </w:r>
    </w:p>
    <w:p>
      <w:pPr>
        <w:numPr>
          <w:ilvl w:val="0"/>
          <w:numId w:val="36"/>
        </w:numPr>
        <w:spacing w:line="360" w:lineRule="auto"/>
        <w:ind w:left="840" w:hanging="420" w:firstLineChars="0"/>
        <w:rPr>
          <w:rFonts w:hint="eastAsia"/>
          <w:color w:val="auto"/>
          <w:highlight w:val="none"/>
          <w:lang w:val="en-US" w:eastAsia="zh-CN"/>
        </w:rPr>
      </w:pPr>
      <w:r>
        <w:rPr>
          <w:rFonts w:hint="eastAsia"/>
          <w:color w:val="auto"/>
          <w:highlight w:val="none"/>
          <w:lang w:val="en-US" w:eastAsia="zh-CN"/>
        </w:rPr>
        <w:t>数据交付完成后，数据需方发出数据接收完成确认；</w:t>
      </w:r>
    </w:p>
    <w:p>
      <w:pPr>
        <w:numPr>
          <w:ilvl w:val="0"/>
          <w:numId w:val="36"/>
        </w:numPr>
        <w:spacing w:line="360" w:lineRule="auto"/>
        <w:ind w:left="840" w:hanging="420" w:firstLineChars="0"/>
        <w:rPr>
          <w:rFonts w:hint="eastAsia"/>
          <w:color w:val="auto"/>
          <w:highlight w:val="none"/>
          <w:lang w:val="en-US" w:eastAsia="zh-CN"/>
        </w:rPr>
      </w:pPr>
      <w:r>
        <w:rPr>
          <w:rFonts w:hint="eastAsia"/>
          <w:color w:val="auto"/>
          <w:highlight w:val="none"/>
          <w:lang w:val="en-US" w:eastAsia="zh-CN"/>
        </w:rPr>
        <w:t>在托管数据交付模式下,数据交易服务机构应在交易结束后立即销毁残余数据；</w:t>
      </w:r>
    </w:p>
    <w:p>
      <w:pPr>
        <w:numPr>
          <w:ilvl w:val="0"/>
          <w:numId w:val="36"/>
        </w:numPr>
        <w:spacing w:line="360" w:lineRule="auto"/>
        <w:ind w:left="840" w:hanging="420" w:firstLineChars="0"/>
        <w:rPr>
          <w:rFonts w:hint="default"/>
          <w:color w:val="auto"/>
          <w:highlight w:val="none"/>
          <w:lang w:val="en-US" w:eastAsia="zh-CN"/>
        </w:rPr>
      </w:pPr>
      <w:r>
        <w:rPr>
          <w:rFonts w:hint="eastAsia"/>
          <w:color w:val="auto"/>
          <w:highlight w:val="none"/>
          <w:lang w:val="en-US" w:eastAsia="zh-CN"/>
        </w:rPr>
        <w:t>数据交易服务机构应为交易过程形成完整的交易日志并安全保存。</w:t>
      </w:r>
    </w:p>
    <w:p>
      <w:pPr>
        <w:pStyle w:val="28"/>
        <w:bidi w:val="0"/>
        <w:outlineLvl w:val="2"/>
        <w:rPr>
          <w:rFonts w:hint="default"/>
          <w:lang w:val="en-US" w:eastAsia="zh-CN"/>
        </w:rPr>
      </w:pPr>
      <w:bookmarkStart w:id="155" w:name="_Toc27933"/>
      <w:bookmarkStart w:id="156" w:name="_Toc18552"/>
      <w:r>
        <w:rPr>
          <w:rFonts w:hint="eastAsia"/>
          <w:lang w:val="en-US" w:eastAsia="zh-CN"/>
        </w:rPr>
        <w:t>数据接口安全</w:t>
      </w:r>
      <w:bookmarkEnd w:id="155"/>
      <w:bookmarkEnd w:id="156"/>
    </w:p>
    <w:p>
      <w:pPr>
        <w:rPr>
          <w:rFonts w:hint="default"/>
          <w:lang w:val="en-US" w:eastAsia="zh-CN"/>
        </w:rPr>
      </w:pPr>
      <w:r>
        <w:rPr>
          <w:rFonts w:hint="eastAsia" w:cs="Times New Roman"/>
          <w:lang w:val="en-US" w:eastAsia="zh-CN"/>
        </w:rPr>
        <w:t>工业数据接口管理应满足如下要求：</w:t>
      </w:r>
    </w:p>
    <w:p>
      <w:pPr>
        <w:pStyle w:val="26"/>
        <w:numPr>
          <w:ilvl w:val="0"/>
          <w:numId w:val="37"/>
        </w:numPr>
        <w:spacing w:line="360" w:lineRule="auto"/>
        <w:ind w:left="840" w:hanging="420" w:firstLineChars="0"/>
        <w:rPr>
          <w:rFonts w:hint="default" w:hAnsi="Times New Roman" w:cs="Times New Roman"/>
          <w:lang w:val="en-US" w:eastAsia="zh-CN"/>
        </w:rPr>
      </w:pPr>
      <w:r>
        <w:rPr>
          <w:rFonts w:hint="eastAsia" w:hAnsi="Times New Roman" w:cs="Times New Roman"/>
          <w:lang w:val="en-US" w:eastAsia="zh-CN"/>
        </w:rPr>
        <w:t>应建立数据接口安全管理部门，负责提供必要的技术支持，负责制定整体的数据接口安全控制策略，负责为数据使用者制定统一的、标准的数据接口开发规范，并</w:t>
      </w:r>
      <w:r>
        <w:rPr>
          <w:rFonts w:hint="eastAsia" w:cs="Times New Roman"/>
          <w:lang w:val="en-US" w:eastAsia="zh-CN"/>
        </w:rPr>
        <w:t>推动</w:t>
      </w:r>
      <w:r>
        <w:rPr>
          <w:rFonts w:hint="eastAsia" w:hAnsi="Times New Roman" w:cs="Times New Roman"/>
          <w:lang w:val="en-US" w:eastAsia="zh-CN"/>
        </w:rPr>
        <w:t>相关要求确实可靠的执行；</w:t>
      </w:r>
    </w:p>
    <w:p>
      <w:pPr>
        <w:pStyle w:val="26"/>
        <w:numPr>
          <w:ilvl w:val="0"/>
          <w:numId w:val="3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制定接口开发规范，对涉及的接口类型、编码格式、变量名称、变量类型、长度、大小等内容进行规范定义。同时，采用不安全参数限制、时间戳超时机制、token授权机制、签名机制、安全传输协议HTTPS等安全措施，降低数据在接口调用过程中的安全风险</w:t>
      </w:r>
      <w:r>
        <w:rPr>
          <w:rFonts w:hint="eastAsia" w:hAnsi="Times New Roman" w:cs="Times New Roman"/>
          <w:lang w:val="en-US" w:eastAsia="zh-CN"/>
        </w:rPr>
        <w:t>；</w:t>
      </w:r>
    </w:p>
    <w:p>
      <w:pPr>
        <w:pStyle w:val="26"/>
        <w:numPr>
          <w:ilvl w:val="0"/>
          <w:numId w:val="3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应建立数据接口管理平台，实现对数据接口的管理和审核，保障开放的接口符合安全规定要求</w:t>
      </w:r>
      <w:r>
        <w:rPr>
          <w:rFonts w:hint="eastAsia" w:hAnsi="Times New Roman" w:cs="Times New Roman"/>
          <w:lang w:val="en-US" w:eastAsia="zh-CN"/>
        </w:rPr>
        <w:t>；</w:t>
      </w:r>
    </w:p>
    <w:p>
      <w:pPr>
        <w:pStyle w:val="26"/>
        <w:numPr>
          <w:ilvl w:val="0"/>
          <w:numId w:val="3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组织机构因内部系统建设或者功能完善需要申请或者变更数据接口的，由组织内部信息化专员登录数据接口管理平台提出相应的申请与变更需求，经上级领导审批同意后，提报数据接口安全管理部门审批</w:t>
      </w:r>
      <w:r>
        <w:rPr>
          <w:rFonts w:hint="eastAsia" w:hAnsi="Times New Roman" w:cs="Times New Roman"/>
          <w:lang w:val="en-US" w:eastAsia="zh-CN"/>
        </w:rPr>
        <w:t>；</w:t>
      </w:r>
    </w:p>
    <w:p>
      <w:pPr>
        <w:pStyle w:val="26"/>
        <w:numPr>
          <w:ilvl w:val="0"/>
          <w:numId w:val="3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组织机构接到外部数据接口使用申请时，由数据接口安全管理部门在数据接口管理平台上进行提报与登记，登记内容包括数据接口调用者的使用目的、使用方式等。并组织数据接口相关技术人员与数据接口调用者共同评审数据接口的实施可行性以及制定实施与测试方案。在实施前，需与接口调用者签订安全责任声明书，包括双方权利义务、数据使用目的、调用频次、责任归属等</w:t>
      </w:r>
      <w:r>
        <w:rPr>
          <w:rFonts w:hint="eastAsia" w:hAnsi="Times New Roman" w:cs="Times New Roman"/>
          <w:lang w:val="en-US" w:eastAsia="zh-CN"/>
        </w:rPr>
        <w:t>；</w:t>
      </w:r>
    </w:p>
    <w:p>
      <w:pPr>
        <w:pStyle w:val="26"/>
        <w:numPr>
          <w:ilvl w:val="0"/>
          <w:numId w:val="3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在数据接口调用的各个阶段都</w:t>
      </w:r>
      <w:r>
        <w:rPr>
          <w:rFonts w:hint="eastAsia" w:cs="Times New Roman"/>
          <w:lang w:val="en-US" w:eastAsia="zh-CN"/>
        </w:rPr>
        <w:t>应</w:t>
      </w:r>
      <w:r>
        <w:rPr>
          <w:rFonts w:hint="default" w:hAnsi="Times New Roman" w:cs="Times New Roman"/>
          <w:lang w:val="en-US" w:eastAsia="zh-CN"/>
        </w:rPr>
        <w:t>加入安全审计机制，严格、详细地记录接口调用过程中的相关信息，包括日期、时间、调用人、IP地址、状态、返回内容等</w:t>
      </w:r>
      <w:r>
        <w:rPr>
          <w:rFonts w:hint="eastAsia" w:cs="Times New Roman"/>
          <w:lang w:val="en-US" w:eastAsia="zh-CN"/>
        </w:rPr>
        <w:t>；</w:t>
      </w:r>
    </w:p>
    <w:p>
      <w:pPr>
        <w:pStyle w:val="26"/>
        <w:numPr>
          <w:ilvl w:val="0"/>
          <w:numId w:val="37"/>
        </w:numPr>
        <w:spacing w:line="360" w:lineRule="auto"/>
        <w:ind w:left="840" w:hanging="420" w:firstLineChars="0"/>
        <w:rPr>
          <w:rFonts w:hint="default" w:hAnsi="Times New Roman" w:cs="Times New Roman"/>
          <w:lang w:val="en-US" w:eastAsia="zh-CN"/>
        </w:rPr>
      </w:pPr>
      <w:r>
        <w:rPr>
          <w:rFonts w:hint="default" w:hAnsi="Times New Roman" w:cs="Times New Roman"/>
          <w:lang w:val="en-US" w:eastAsia="zh-CN"/>
        </w:rPr>
        <w:t>数据接口安全管理部门</w:t>
      </w:r>
      <w:r>
        <w:rPr>
          <w:rFonts w:hint="eastAsia" w:cs="Times New Roman"/>
          <w:lang w:val="en-US" w:eastAsia="zh-CN"/>
        </w:rPr>
        <w:t>应</w:t>
      </w:r>
      <w:r>
        <w:rPr>
          <w:rFonts w:hint="default" w:hAnsi="Times New Roman" w:cs="Times New Roman"/>
          <w:lang w:val="en-US" w:eastAsia="zh-CN"/>
        </w:rPr>
        <w:t>设置专人定期对接口调用相关的日志记录进行安全审计，发布审计报告，并跟进审计中发现的异常</w:t>
      </w:r>
      <w:r>
        <w:rPr>
          <w:rFonts w:hint="eastAsia" w:cs="Times New Roman"/>
          <w:lang w:val="en-US" w:eastAsia="zh-CN"/>
        </w:rPr>
        <w:t>。</w:t>
      </w:r>
    </w:p>
    <w:p>
      <w:pPr>
        <w:pStyle w:val="28"/>
        <w:outlineLvl w:val="2"/>
        <w:rPr>
          <w:rFonts w:hint="eastAsia" w:hAnsi="黑体" w:cs="Times New Roman"/>
          <w:lang w:val="en-US" w:eastAsia="zh-CN"/>
        </w:rPr>
      </w:pPr>
      <w:r>
        <w:rPr>
          <w:rFonts w:hint="eastAsia" w:cs="Times New Roman"/>
          <w:lang w:val="en-US" w:eastAsia="zh-CN"/>
        </w:rPr>
        <w:t>数据出境安全</w:t>
      </w:r>
    </w:p>
    <w:p>
      <w:pPr>
        <w:numPr>
          <w:ilvl w:val="0"/>
          <w:numId w:val="38"/>
        </w:numPr>
        <w:spacing w:line="360" w:lineRule="auto"/>
        <w:ind w:left="840" w:hanging="420" w:firstLineChars="0"/>
        <w:rPr>
          <w:rFonts w:hint="eastAsia"/>
          <w:color w:val="auto"/>
          <w:highlight w:val="none"/>
        </w:rPr>
      </w:pPr>
      <w:r>
        <w:rPr>
          <w:rFonts w:hint="eastAsia"/>
          <w:color w:val="auto"/>
          <w:highlight w:val="none"/>
        </w:rPr>
        <w:t>应结合实际开展</w:t>
      </w:r>
      <w:r>
        <w:rPr>
          <w:rFonts w:hint="eastAsia"/>
          <w:color w:val="auto"/>
          <w:highlight w:val="none"/>
          <w:lang w:val="en-US" w:eastAsia="zh-CN"/>
        </w:rPr>
        <w:t>数据出境</w:t>
      </w:r>
      <w:r>
        <w:rPr>
          <w:rFonts w:hint="eastAsia"/>
          <w:color w:val="auto"/>
          <w:highlight w:val="none"/>
        </w:rPr>
        <w:t>安全自评估和安全管理。自评估至少应包含以下几个方面：</w:t>
      </w:r>
    </w:p>
    <w:p>
      <w:pPr>
        <w:numPr>
          <w:ilvl w:val="0"/>
          <w:numId w:val="39"/>
        </w:numPr>
        <w:spacing w:line="360" w:lineRule="auto"/>
        <w:ind w:left="1260" w:leftChars="0" w:hanging="420" w:firstLineChars="0"/>
        <w:rPr>
          <w:rFonts w:hint="eastAsia"/>
        </w:rPr>
      </w:pPr>
      <w:r>
        <w:rPr>
          <w:rFonts w:hint="eastAsia"/>
        </w:rPr>
        <w:t>数据</w:t>
      </w:r>
      <w:r>
        <w:rPr>
          <w:rFonts w:hint="eastAsia"/>
          <w:lang w:val="en-US" w:eastAsia="zh-CN"/>
        </w:rPr>
        <w:t>出境</w:t>
      </w:r>
      <w:r>
        <w:rPr>
          <w:rFonts w:hint="eastAsia"/>
        </w:rPr>
        <w:t>和境外接收方处理数据的目的、范围、方式等的合法性、正当性、必要性；</w:t>
      </w:r>
    </w:p>
    <w:p>
      <w:pPr>
        <w:numPr>
          <w:ilvl w:val="0"/>
          <w:numId w:val="39"/>
        </w:numPr>
        <w:spacing w:line="360" w:lineRule="auto"/>
        <w:ind w:left="1260" w:leftChars="0" w:hanging="420" w:firstLineChars="0"/>
        <w:rPr>
          <w:rFonts w:hint="eastAsia"/>
        </w:rPr>
      </w:pPr>
      <w:r>
        <w:rPr>
          <w:rFonts w:hint="eastAsia"/>
        </w:rPr>
        <w:t>出境数据的规模、范围、种类、敏感程度，数据出境可能对国家安全、公共利益、个人或者组织合法权益带来的风险；</w:t>
      </w:r>
    </w:p>
    <w:p>
      <w:pPr>
        <w:numPr>
          <w:ilvl w:val="0"/>
          <w:numId w:val="39"/>
        </w:numPr>
        <w:spacing w:line="360" w:lineRule="auto"/>
        <w:ind w:left="1260" w:leftChars="0" w:hanging="420" w:firstLineChars="0"/>
        <w:rPr>
          <w:rFonts w:hint="eastAsia"/>
        </w:rPr>
      </w:pPr>
      <w:r>
        <w:rPr>
          <w:rFonts w:hint="eastAsia"/>
        </w:rPr>
        <w:t>境外接收方承诺承担的责任义务，以及履行责任义务的管理和技术措施、能力等能否保障出境数据的安全；</w:t>
      </w:r>
    </w:p>
    <w:p>
      <w:pPr>
        <w:numPr>
          <w:ilvl w:val="0"/>
          <w:numId w:val="39"/>
        </w:numPr>
        <w:spacing w:line="360" w:lineRule="auto"/>
        <w:ind w:left="1260" w:leftChars="0" w:hanging="420" w:firstLineChars="0"/>
        <w:rPr>
          <w:rFonts w:hint="eastAsia"/>
        </w:rPr>
      </w:pPr>
      <w:r>
        <w:rPr>
          <w:rFonts w:hint="eastAsia"/>
        </w:rPr>
        <w:t>数据出境中和出境后遭到篡改、破坏、泄露、丢失、转移或者被非法获取、非法利用等的风险，个人信息权益维护的渠道是否通畅等；</w:t>
      </w:r>
    </w:p>
    <w:p>
      <w:pPr>
        <w:numPr>
          <w:ilvl w:val="0"/>
          <w:numId w:val="39"/>
        </w:numPr>
        <w:spacing w:line="360" w:lineRule="auto"/>
        <w:ind w:left="1260" w:leftChars="0" w:hanging="420" w:firstLineChars="0"/>
        <w:rPr>
          <w:rFonts w:hint="eastAsia"/>
        </w:rPr>
      </w:pPr>
      <w:r>
        <w:rPr>
          <w:rFonts w:hint="eastAsia"/>
        </w:rPr>
        <w:t>与境外接收方拟订立的数据出境相关合同等法律文件是否充分约定了数据安全保护责任义务；</w:t>
      </w:r>
    </w:p>
    <w:p>
      <w:pPr>
        <w:numPr>
          <w:ilvl w:val="0"/>
          <w:numId w:val="39"/>
        </w:numPr>
        <w:spacing w:line="360" w:lineRule="auto"/>
        <w:ind w:left="1260" w:leftChars="0" w:hanging="420" w:firstLineChars="0"/>
        <w:rPr>
          <w:rFonts w:hint="default" w:hAnsi="Times New Roman" w:cs="Times New Roman"/>
          <w:lang w:val="en-US" w:eastAsia="zh-CN"/>
        </w:rPr>
      </w:pPr>
      <w:r>
        <w:rPr>
          <w:rFonts w:hint="eastAsia"/>
        </w:rPr>
        <w:t>其他可能影响数据出境安全的事项。</w:t>
      </w:r>
    </w:p>
    <w:p>
      <w:pPr>
        <w:numPr>
          <w:ilvl w:val="0"/>
          <w:numId w:val="38"/>
        </w:numPr>
        <w:spacing w:line="360" w:lineRule="auto"/>
        <w:ind w:left="840" w:hanging="420" w:firstLineChars="0"/>
        <w:rPr>
          <w:rFonts w:hint="eastAsia"/>
          <w:color w:val="auto"/>
          <w:highlight w:val="none"/>
        </w:rPr>
      </w:pPr>
      <w:r>
        <w:rPr>
          <w:rFonts w:hint="eastAsia"/>
          <w:color w:val="auto"/>
          <w:highlight w:val="none"/>
        </w:rPr>
        <w:t>确需出境的，应依法依规进行数据出境安全评估</w:t>
      </w:r>
      <w:r>
        <w:rPr>
          <w:rFonts w:hint="eastAsia"/>
          <w:color w:val="auto"/>
          <w:highlight w:val="none"/>
          <w:lang w:eastAsia="zh-CN"/>
        </w:rPr>
        <w:t>。</w:t>
      </w:r>
    </w:p>
    <w:p>
      <w:pPr>
        <w:numPr>
          <w:ilvl w:val="0"/>
          <w:numId w:val="38"/>
        </w:numPr>
        <w:spacing w:line="360" w:lineRule="auto"/>
        <w:ind w:left="840" w:hanging="420" w:firstLineChars="0"/>
        <w:rPr>
          <w:rFonts w:hint="eastAsia"/>
          <w:color w:val="auto"/>
          <w:highlight w:val="none"/>
        </w:rPr>
      </w:pPr>
      <w:r>
        <w:rPr>
          <w:rFonts w:hint="eastAsia"/>
          <w:color w:val="auto"/>
          <w:highlight w:val="none"/>
        </w:rPr>
        <w:t>应具备数据出境安全监测能力，对通过评估的数据的出境行为、内容开展安全监测，加强数据出境安全风险防范和处置</w:t>
      </w:r>
      <w:r>
        <w:rPr>
          <w:rFonts w:hint="eastAsia"/>
          <w:color w:val="auto"/>
          <w:highlight w:val="none"/>
          <w:lang w:eastAsia="zh-CN"/>
        </w:rPr>
        <w:t>。</w:t>
      </w:r>
    </w:p>
    <w:p>
      <w:pPr>
        <w:numPr>
          <w:ilvl w:val="0"/>
          <w:numId w:val="38"/>
        </w:numPr>
        <w:spacing w:line="360" w:lineRule="auto"/>
        <w:ind w:left="840" w:hanging="420" w:firstLineChars="0"/>
        <w:rPr>
          <w:rFonts w:hint="eastAsia"/>
          <w:color w:val="auto"/>
          <w:highlight w:val="none"/>
        </w:rPr>
      </w:pPr>
      <w:r>
        <w:rPr>
          <w:rFonts w:hint="eastAsia"/>
          <w:color w:val="auto"/>
          <w:highlight w:val="none"/>
        </w:rPr>
        <w:t>应预留数据安全监测、检查等技术接口，为数据出境安全管理提供技术支持</w:t>
      </w:r>
      <w:r>
        <w:rPr>
          <w:rFonts w:hint="eastAsia"/>
          <w:color w:val="auto"/>
          <w:highlight w:val="none"/>
          <w:lang w:eastAsia="zh-CN"/>
        </w:rPr>
        <w:t>。</w:t>
      </w:r>
    </w:p>
    <w:p>
      <w:pPr>
        <w:numPr>
          <w:ilvl w:val="0"/>
          <w:numId w:val="38"/>
        </w:numPr>
        <w:spacing w:line="360" w:lineRule="auto"/>
        <w:ind w:left="840" w:hanging="420" w:firstLineChars="0"/>
        <w:rPr>
          <w:rFonts w:hint="default" w:hAnsi="Times New Roman" w:cs="Times New Roman"/>
          <w:color w:val="auto"/>
          <w:highlight w:val="none"/>
          <w:lang w:val="en-US" w:eastAsia="zh-CN"/>
        </w:rPr>
      </w:pPr>
      <w:r>
        <w:rPr>
          <w:rFonts w:hint="eastAsia"/>
          <w:color w:val="auto"/>
          <w:highlight w:val="none"/>
        </w:rPr>
        <w:t>应采取必要的防泄漏技术或手段，防止工业数据在出境过程中发生泄露。</w:t>
      </w:r>
    </w:p>
    <w:p>
      <w:pPr>
        <w:numPr>
          <w:ilvl w:val="0"/>
          <w:numId w:val="38"/>
        </w:numPr>
        <w:spacing w:line="360" w:lineRule="auto"/>
        <w:ind w:left="840" w:hanging="420" w:firstLineChars="0"/>
        <w:rPr>
          <w:rFonts w:hint="default"/>
          <w:color w:val="auto"/>
          <w:highlight w:val="none"/>
          <w:lang w:val="en-US" w:eastAsia="zh-CN"/>
        </w:rPr>
      </w:pPr>
      <w:r>
        <w:rPr>
          <w:rFonts w:hint="eastAsia"/>
          <w:color w:val="auto"/>
          <w:highlight w:val="none"/>
          <w:lang w:val="en-US" w:eastAsia="zh-CN"/>
        </w:rPr>
        <w:t>原则上核心数据不允许出境，确需出境的，应当依法依规进行数据出境安全评估。</w:t>
      </w:r>
    </w:p>
    <w:p>
      <w:pPr>
        <w:pStyle w:val="27"/>
        <w:spacing w:before="312" w:after="312" w:line="360" w:lineRule="auto"/>
        <w:outlineLvl w:val="1"/>
        <w:rPr>
          <w:rFonts w:hint="eastAsia" w:hAnsi="黑体" w:cs="Times New Roman"/>
          <w:color w:val="auto"/>
          <w:highlight w:val="none"/>
          <w:lang w:val="en-US" w:eastAsia="zh-CN"/>
        </w:rPr>
      </w:pPr>
      <w:bookmarkStart w:id="157" w:name="_Toc12800"/>
      <w:bookmarkStart w:id="158" w:name="_Toc29078"/>
      <w:r>
        <w:rPr>
          <w:rFonts w:hint="eastAsia" w:hAnsi="黑体" w:cs="Times New Roman"/>
          <w:color w:val="auto"/>
          <w:highlight w:val="none"/>
          <w:lang w:val="en-US" w:eastAsia="zh-CN"/>
        </w:rPr>
        <w:t>数据销毁</w:t>
      </w:r>
      <w:bookmarkEnd w:id="157"/>
      <w:bookmarkEnd w:id="158"/>
    </w:p>
    <w:p>
      <w:pPr>
        <w:pStyle w:val="28"/>
        <w:bidi w:val="0"/>
        <w:outlineLvl w:val="2"/>
        <w:rPr>
          <w:rFonts w:hint="default"/>
          <w:lang w:val="en-US" w:eastAsia="zh-CN"/>
        </w:rPr>
      </w:pPr>
      <w:bookmarkStart w:id="159" w:name="_Toc20488"/>
      <w:bookmarkStart w:id="160" w:name="_Toc13305"/>
      <w:r>
        <w:rPr>
          <w:rFonts w:hint="eastAsia"/>
          <w:lang w:val="en-US" w:eastAsia="zh-CN"/>
        </w:rPr>
        <w:t>数据销毁处置</w:t>
      </w:r>
      <w:bookmarkEnd w:id="159"/>
      <w:bookmarkEnd w:id="160"/>
    </w:p>
    <w:p>
      <w:pPr>
        <w:rPr>
          <w:rFonts w:hint="default"/>
          <w:lang w:val="en-US" w:eastAsia="zh-CN"/>
        </w:rPr>
      </w:pPr>
      <w:r>
        <w:rPr>
          <w:rFonts w:hint="eastAsia" w:cs="Times New Roman"/>
          <w:lang w:val="en-US" w:eastAsia="zh-CN"/>
        </w:rPr>
        <w:t>工业数据销毁处置应满足如下要求：</w:t>
      </w:r>
    </w:p>
    <w:p>
      <w:pPr>
        <w:pStyle w:val="26"/>
        <w:numPr>
          <w:ilvl w:val="0"/>
          <w:numId w:val="40"/>
        </w:numPr>
        <w:spacing w:line="360" w:lineRule="auto"/>
        <w:ind w:left="840" w:hanging="420" w:firstLineChars="0"/>
        <w:rPr>
          <w:rFonts w:hint="default" w:cs="Times New Roman"/>
          <w:lang w:val="en-US" w:eastAsia="zh-CN"/>
        </w:rPr>
      </w:pPr>
      <w:r>
        <w:rPr>
          <w:rFonts w:hint="eastAsia" w:cs="Times New Roman"/>
          <w:lang w:val="en-US" w:eastAsia="zh-CN"/>
        </w:rPr>
        <w:t>应</w:t>
      </w:r>
      <w:r>
        <w:rPr>
          <w:rFonts w:hint="default" w:cs="Times New Roman"/>
          <w:lang w:val="en-US" w:eastAsia="zh-CN"/>
        </w:rPr>
        <w:t>设立数据销毁安全管理部门，负责提供必要的技术支持，负责制定整体的数据销毁处置策略和管理制度，负责为技术人员建立规范的数据销毁流程和审批机制，并推动相关要求确实可靠的落地执行</w:t>
      </w:r>
      <w:r>
        <w:rPr>
          <w:rFonts w:hint="eastAsia" w:cs="Times New Roman"/>
          <w:lang w:val="en-US" w:eastAsia="zh-CN"/>
        </w:rPr>
        <w:t>；</w:t>
      </w:r>
    </w:p>
    <w:p>
      <w:pPr>
        <w:pStyle w:val="26"/>
        <w:numPr>
          <w:ilvl w:val="0"/>
          <w:numId w:val="40"/>
        </w:numPr>
        <w:spacing w:line="360" w:lineRule="auto"/>
        <w:ind w:left="840" w:hanging="420" w:firstLineChars="0"/>
        <w:rPr>
          <w:rFonts w:hint="default" w:cs="Times New Roman"/>
          <w:lang w:val="en-US" w:eastAsia="zh-CN"/>
        </w:rPr>
      </w:pPr>
      <w:r>
        <w:rPr>
          <w:rFonts w:hint="default" w:cs="Times New Roman"/>
          <w:lang w:val="en-US" w:eastAsia="zh-CN"/>
        </w:rPr>
        <w:t>应依照数据分类分级建立数据销毁策略和管理制度，明确数据销毁的场景、销毁对象、销毁方式利销毁要求；</w:t>
      </w:r>
    </w:p>
    <w:p>
      <w:pPr>
        <w:pStyle w:val="26"/>
        <w:numPr>
          <w:ilvl w:val="0"/>
          <w:numId w:val="40"/>
        </w:numPr>
        <w:spacing w:line="360" w:lineRule="auto"/>
        <w:ind w:left="840" w:hanging="420" w:firstLineChars="0"/>
        <w:rPr>
          <w:rFonts w:hint="default" w:cs="Times New Roman"/>
          <w:lang w:val="en-US" w:eastAsia="zh-CN"/>
        </w:rPr>
      </w:pPr>
      <w:r>
        <w:rPr>
          <w:rFonts w:hint="default" w:cs="Times New Roman"/>
          <w:lang w:val="en-US" w:eastAsia="zh-CN"/>
        </w:rPr>
        <w:t>应建立规范的数据销毁流程和审批机制，设置销毁相关监督角色，监督操作过程,并对审批和销毁过程进行记录控制；</w:t>
      </w:r>
    </w:p>
    <w:p>
      <w:pPr>
        <w:pStyle w:val="26"/>
        <w:numPr>
          <w:ilvl w:val="0"/>
          <w:numId w:val="40"/>
        </w:numPr>
        <w:spacing w:line="360" w:lineRule="auto"/>
        <w:ind w:left="840" w:hanging="420" w:firstLineChars="0"/>
        <w:rPr>
          <w:rFonts w:hint="default" w:cs="Times New Roman"/>
          <w:lang w:val="en-US" w:eastAsia="zh-CN"/>
        </w:rPr>
      </w:pPr>
      <w:r>
        <w:rPr>
          <w:rFonts w:hint="default" w:cs="Times New Roman"/>
          <w:lang w:val="en-US" w:eastAsia="zh-CN"/>
        </w:rPr>
        <w:t>应按国家相关法律和标准销毁个人信息、重要数据等敏感数据</w:t>
      </w:r>
      <w:r>
        <w:rPr>
          <w:rFonts w:hint="eastAsia" w:cs="Times New Roman"/>
          <w:lang w:val="en-US" w:eastAsia="zh-CN"/>
        </w:rPr>
        <w:t>；</w:t>
      </w:r>
    </w:p>
    <w:p>
      <w:pPr>
        <w:pStyle w:val="26"/>
        <w:numPr>
          <w:ilvl w:val="0"/>
          <w:numId w:val="40"/>
        </w:numPr>
        <w:spacing w:line="360" w:lineRule="auto"/>
        <w:ind w:left="840" w:hanging="420" w:firstLineChars="0"/>
        <w:rPr>
          <w:rFonts w:hint="default" w:cs="Times New Roman"/>
          <w:lang w:val="en-US" w:eastAsia="zh-CN"/>
        </w:rPr>
      </w:pPr>
      <w:r>
        <w:rPr>
          <w:rFonts w:hint="default" w:cs="Times New Roman"/>
          <w:lang w:val="en-US" w:eastAsia="zh-CN"/>
        </w:rPr>
        <w:t>对于在工作中形成的个人临时性草稿及文字废纸，由组织人员通过碎纸机自行进行破碎销毁</w:t>
      </w:r>
      <w:r>
        <w:rPr>
          <w:rFonts w:hint="eastAsia" w:cs="Times New Roman"/>
          <w:lang w:val="en-US" w:eastAsia="zh-CN"/>
        </w:rPr>
        <w:t>；</w:t>
      </w:r>
    </w:p>
    <w:p>
      <w:pPr>
        <w:pStyle w:val="26"/>
        <w:numPr>
          <w:ilvl w:val="0"/>
          <w:numId w:val="40"/>
        </w:numPr>
        <w:spacing w:line="360" w:lineRule="auto"/>
        <w:ind w:left="840" w:hanging="420" w:firstLineChars="0"/>
        <w:rPr>
          <w:rFonts w:hint="default" w:cs="Times New Roman"/>
          <w:lang w:val="en-US" w:eastAsia="zh-CN"/>
        </w:rPr>
      </w:pPr>
      <w:r>
        <w:rPr>
          <w:rFonts w:hint="default" w:cs="Times New Roman"/>
          <w:lang w:val="en-US" w:eastAsia="zh-CN"/>
        </w:rPr>
        <w:t>对于工作过程中形成的日常办公作废的文件，需要上级领导部门鉴定确已无保存价值，</w:t>
      </w:r>
      <w:r>
        <w:rPr>
          <w:rFonts w:hint="eastAsia" w:cs="Times New Roman"/>
          <w:lang w:val="en-US" w:eastAsia="zh-CN"/>
        </w:rPr>
        <w:t>待</w:t>
      </w:r>
      <w:r>
        <w:rPr>
          <w:rFonts w:hint="default" w:cs="Times New Roman"/>
          <w:lang w:val="en-US" w:eastAsia="zh-CN"/>
        </w:rPr>
        <w:t>上级部门审核通过后，由数据销毁安全管理部门现场监督组织人员使用碎纸机进行破碎销毁</w:t>
      </w:r>
      <w:r>
        <w:rPr>
          <w:rFonts w:hint="eastAsia" w:cs="Times New Roman"/>
          <w:lang w:val="en-US" w:eastAsia="zh-CN"/>
        </w:rPr>
        <w:t>；</w:t>
      </w:r>
    </w:p>
    <w:p>
      <w:pPr>
        <w:pStyle w:val="26"/>
        <w:numPr>
          <w:ilvl w:val="0"/>
          <w:numId w:val="40"/>
        </w:numPr>
        <w:spacing w:line="360" w:lineRule="auto"/>
        <w:ind w:left="840" w:hanging="420" w:firstLineChars="0"/>
        <w:rPr>
          <w:rFonts w:hint="default" w:cs="Times New Roman"/>
          <w:lang w:val="en-US" w:eastAsia="zh-CN"/>
        </w:rPr>
      </w:pPr>
      <w:r>
        <w:rPr>
          <w:rFonts w:hint="default" w:cs="Times New Roman"/>
          <w:lang w:val="en-US" w:eastAsia="zh-CN"/>
        </w:rPr>
        <w:t>对于日常办公过程中形成的作废数据，需遵循如下销毁流程</w:t>
      </w:r>
      <w:r>
        <w:rPr>
          <w:rFonts w:hint="eastAsia" w:cs="Times New Roman"/>
          <w:lang w:val="en-US" w:eastAsia="zh-CN"/>
        </w:rPr>
        <w:t>：</w:t>
      </w:r>
    </w:p>
    <w:p>
      <w:pPr>
        <w:numPr>
          <w:ilvl w:val="0"/>
          <w:numId w:val="41"/>
        </w:numPr>
        <w:spacing w:line="360" w:lineRule="auto"/>
        <w:ind w:left="1260" w:leftChars="0" w:hanging="42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组织人员根据实际情况，结合业务和数据的重要性，明确需要销毁的数据，并在数据销毁平台上提出相应的数据销毁申请，此申请需要填写的内容包括申请人、销毁内容，涉及部门、销毁原因等。经上级领导审批后，提报数据销毁安全管理部门审批</w:t>
      </w:r>
      <w:r>
        <w:rPr>
          <w:rFonts w:hint="eastAsia" w:cs="Times New Roman"/>
          <w:color w:val="auto"/>
          <w:sz w:val="21"/>
          <w:szCs w:val="21"/>
          <w:lang w:val="en-US" w:eastAsia="zh-CN"/>
        </w:rPr>
        <w:t>；</w:t>
      </w:r>
    </w:p>
    <w:p>
      <w:pPr>
        <w:numPr>
          <w:ilvl w:val="0"/>
          <w:numId w:val="41"/>
        </w:numPr>
        <w:spacing w:line="360" w:lineRule="auto"/>
        <w:ind w:left="1260" w:leftChars="0" w:hanging="42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数据销毁安全管理部门接到数据销毁申请后，组织相关人员开展数据销毁评审会议，对所申请的数据进行合理性和必要性评估，并根据数据分类分级的结果，评审数据销毁的手段和方法，其中包括物理销毁和逻辑销毁等，比如覆写法、消磁法、捣碎法/剪碎法、焚毁法，或者配置必要的数据销毁工具等，确保能以不可逆的方式销毁数据内容。对于已通过评审的数据销毁申请，数据销毁安全管理部门</w:t>
      </w:r>
      <w:r>
        <w:rPr>
          <w:rFonts w:hint="eastAsia" w:cs="Times New Roman"/>
          <w:color w:val="auto"/>
          <w:sz w:val="21"/>
          <w:szCs w:val="21"/>
          <w:lang w:val="en-US" w:eastAsia="zh-CN"/>
        </w:rPr>
        <w:t>应</w:t>
      </w:r>
      <w:r>
        <w:rPr>
          <w:rFonts w:hint="default" w:ascii="Times New Roman" w:hAnsi="Times New Roman" w:cs="Times New Roman"/>
          <w:color w:val="auto"/>
          <w:sz w:val="21"/>
          <w:szCs w:val="21"/>
          <w:lang w:val="en-US" w:eastAsia="zh-CN"/>
        </w:rPr>
        <w:t>在数据销毁管理平台上录入数据销毁实施期限并确认销毁申请审核。若评审结果为否决销毁，则由数据销毁安全管理部门在数据销毁管理平台进行否决需求操作</w:t>
      </w:r>
      <w:r>
        <w:rPr>
          <w:rFonts w:hint="eastAsia" w:cs="Times New Roman"/>
          <w:color w:val="auto"/>
          <w:sz w:val="21"/>
          <w:szCs w:val="21"/>
          <w:lang w:val="en-US" w:eastAsia="zh-CN"/>
        </w:rPr>
        <w:t>；</w:t>
      </w:r>
    </w:p>
    <w:p>
      <w:pPr>
        <w:numPr>
          <w:ilvl w:val="0"/>
          <w:numId w:val="41"/>
        </w:numPr>
        <w:spacing w:line="360" w:lineRule="auto"/>
        <w:ind w:left="1260" w:leftChars="0" w:hanging="42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为防止机密数据泄露给未经授权的人员，各部门人员应将需要销毁的数据送到数据销毁安全管理部门，由存储介质安全管理部门按照评审通过的销毁方法统一进行安全销毁。注意，未经审核和评审的机密数据，组织人员不得擅自销毁。</w:t>
      </w:r>
    </w:p>
    <w:p>
      <w:pPr>
        <w:pStyle w:val="28"/>
        <w:bidi w:val="0"/>
        <w:outlineLvl w:val="2"/>
        <w:rPr>
          <w:rFonts w:hint="default"/>
          <w:lang w:val="en-US" w:eastAsia="zh-CN"/>
        </w:rPr>
      </w:pPr>
      <w:bookmarkStart w:id="161" w:name="_Toc16161"/>
      <w:bookmarkStart w:id="162" w:name="_Toc19977"/>
      <w:r>
        <w:rPr>
          <w:rFonts w:hint="eastAsia"/>
          <w:lang w:val="en-US" w:eastAsia="zh-CN"/>
        </w:rPr>
        <w:t>存储媒体销毁处置</w:t>
      </w:r>
      <w:bookmarkEnd w:id="161"/>
      <w:bookmarkEnd w:id="162"/>
    </w:p>
    <w:p>
      <w:pPr>
        <w:rPr>
          <w:rFonts w:hint="default"/>
          <w:lang w:val="en-US" w:eastAsia="zh-CN"/>
        </w:rPr>
      </w:pPr>
      <w:r>
        <w:rPr>
          <w:rFonts w:hint="eastAsia" w:cs="Times New Roman"/>
          <w:lang w:val="en-US" w:eastAsia="zh-CN"/>
        </w:rPr>
        <w:t>工业数据存储媒体销毁处置应满足如下要求：</w:t>
      </w:r>
    </w:p>
    <w:p>
      <w:pPr>
        <w:pStyle w:val="26"/>
        <w:numPr>
          <w:ilvl w:val="0"/>
          <w:numId w:val="42"/>
        </w:numPr>
        <w:spacing w:line="360" w:lineRule="auto"/>
        <w:ind w:left="840" w:hanging="420" w:firstLineChars="0"/>
        <w:rPr>
          <w:rFonts w:hint="default" w:cs="Times New Roman"/>
          <w:lang w:val="en-US" w:eastAsia="zh-CN"/>
        </w:rPr>
      </w:pPr>
      <w:r>
        <w:rPr>
          <w:rFonts w:hint="default" w:cs="Times New Roman"/>
          <w:lang w:val="en-US" w:eastAsia="zh-CN"/>
        </w:rPr>
        <w:t>应设立介质销毁安全管理部门，负责提供必要的技术支持，负责制定整体的介质销毁处置策略和管理制度，负责为技术人员建立规范的介质销毁监督流程和审批机制，并推动相关要求确实可靠的执行。</w:t>
      </w:r>
    </w:p>
    <w:p>
      <w:pPr>
        <w:pStyle w:val="26"/>
        <w:numPr>
          <w:ilvl w:val="0"/>
          <w:numId w:val="42"/>
        </w:numPr>
        <w:spacing w:line="360" w:lineRule="auto"/>
        <w:ind w:left="840" w:hanging="420" w:firstLineChars="0"/>
        <w:rPr>
          <w:rFonts w:hint="default" w:cs="Times New Roman"/>
          <w:lang w:val="en-US" w:eastAsia="zh-CN"/>
        </w:rPr>
      </w:pPr>
      <w:r>
        <w:rPr>
          <w:rFonts w:hint="default" w:cs="Times New Roman"/>
          <w:lang w:val="en-US" w:eastAsia="zh-CN"/>
        </w:rPr>
        <w:t>组织内的人员必须严格遵守组织所制定的介质销毁安全管理制度，根据实际情况，明确需要销毁的介质。对于以下情形之一的存储介质可以提出介质销毁申请：</w:t>
      </w:r>
    </w:p>
    <w:p>
      <w:pPr>
        <w:numPr>
          <w:ilvl w:val="0"/>
          <w:numId w:val="43"/>
        </w:numPr>
        <w:spacing w:line="360" w:lineRule="auto"/>
        <w:ind w:left="1260" w:leftChars="0" w:hanging="42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备份数据的保存实际时间已经超过部门的制度要求，部门上级领导确认该数据无保留价值；</w:t>
      </w:r>
    </w:p>
    <w:p>
      <w:pPr>
        <w:numPr>
          <w:ilvl w:val="0"/>
          <w:numId w:val="43"/>
        </w:numPr>
        <w:spacing w:line="360" w:lineRule="auto"/>
        <w:ind w:left="1260" w:leftChars="0" w:hanging="42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存储介质因过频使用、自然老化而无法使用的；</w:t>
      </w:r>
    </w:p>
    <w:p>
      <w:pPr>
        <w:numPr>
          <w:ilvl w:val="0"/>
          <w:numId w:val="43"/>
        </w:numPr>
        <w:spacing w:line="360" w:lineRule="auto"/>
        <w:ind w:left="1260" w:leftChars="0" w:hanging="42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因水灾、火灾等其他事故造成的存储介质损坏而无法使用的；</w:t>
      </w:r>
    </w:p>
    <w:p>
      <w:pPr>
        <w:numPr>
          <w:ilvl w:val="0"/>
          <w:numId w:val="43"/>
        </w:numPr>
        <w:spacing w:line="360" w:lineRule="auto"/>
        <w:ind w:left="1260" w:leftChars="0" w:hanging="42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因特殊原因或工作需要销毁存储介质。</w:t>
      </w:r>
    </w:p>
    <w:p>
      <w:pPr>
        <w:pStyle w:val="26"/>
        <w:numPr>
          <w:ilvl w:val="0"/>
          <w:numId w:val="42"/>
        </w:numPr>
        <w:spacing w:line="360" w:lineRule="auto"/>
        <w:ind w:left="840" w:hanging="420" w:firstLineChars="0"/>
        <w:rPr>
          <w:rFonts w:hint="default" w:cs="Times New Roman"/>
          <w:lang w:val="en-US" w:eastAsia="zh-CN"/>
        </w:rPr>
      </w:pPr>
      <w:r>
        <w:rPr>
          <w:rFonts w:hint="default" w:cs="Times New Roman"/>
          <w:lang w:val="en-US" w:eastAsia="zh-CN"/>
        </w:rPr>
        <w:t>组织人员明确需要销毁的介质后，在介质销毁平台上提出相应的介质销毁申请，需要填写的内容包括申请人、销毁介质清单、介质类型、销毁原因等。经上级领导审批后，提报介质销毁安全管理部门审批。</w:t>
      </w:r>
    </w:p>
    <w:p>
      <w:pPr>
        <w:pStyle w:val="26"/>
        <w:numPr>
          <w:ilvl w:val="0"/>
          <w:numId w:val="42"/>
        </w:numPr>
        <w:spacing w:line="360" w:lineRule="auto"/>
        <w:ind w:left="840" w:hanging="420" w:firstLineChars="0"/>
        <w:rPr>
          <w:rFonts w:hint="default" w:cs="Times New Roman"/>
          <w:lang w:val="en-US" w:eastAsia="zh-CN"/>
        </w:rPr>
      </w:pPr>
      <w:r>
        <w:rPr>
          <w:rFonts w:hint="default" w:cs="Times New Roman"/>
          <w:lang w:val="en-US" w:eastAsia="zh-CN"/>
        </w:rPr>
        <w:t>介质销毁安全管理部门接到介质销毁申请后，组织相关人员开展介质销毁评审会议，对所申请的介质进行合理性和必要性的评估，并根据实际的数据保密性要求</w:t>
      </w:r>
      <w:r>
        <w:rPr>
          <w:rFonts w:hint="eastAsia" w:cs="Times New Roman"/>
          <w:lang w:val="en-US" w:eastAsia="zh-CN"/>
        </w:rPr>
        <w:t>。</w:t>
      </w:r>
    </w:p>
    <w:p>
      <w:pPr>
        <w:pStyle w:val="26"/>
        <w:numPr>
          <w:ilvl w:val="0"/>
          <w:numId w:val="42"/>
        </w:numPr>
        <w:spacing w:line="360" w:lineRule="auto"/>
        <w:ind w:left="840" w:hanging="420" w:firstLineChars="0"/>
        <w:rPr>
          <w:rFonts w:hint="default" w:cs="Times New Roman"/>
          <w:lang w:val="en-US" w:eastAsia="zh-CN"/>
        </w:rPr>
      </w:pPr>
      <w:r>
        <w:rPr>
          <w:rFonts w:hint="default" w:cs="Times New Roman"/>
          <w:lang w:val="en-US" w:eastAsia="zh-CN"/>
        </w:rPr>
        <w:t>对于评审通过的介质销毁申请，介质销毁安全管理部门在介质销毁管理平台上录入介质销毁实施期限并确认销毁申请审核。若评审结果为否决销毁，则由介质销毁安全管理部门在介质销毁管理平台进行否决需求操作。</w:t>
      </w:r>
    </w:p>
    <w:bookmarkEnd w:id="117"/>
    <w:bookmarkEnd w:id="118"/>
    <w:p>
      <w:pPr>
        <w:pStyle w:val="49"/>
        <w:bidi w:val="0"/>
        <w:spacing w:line="360" w:lineRule="auto"/>
        <w:jc w:val="center"/>
        <w:rPr>
          <w:color w:val="auto"/>
          <w:highlight w:val="none"/>
        </w:rPr>
      </w:pPr>
      <w:r>
        <w:rPr>
          <w:color w:val="auto"/>
          <w:highlight w:val="none"/>
        </w:rPr>
        <w:t>________________________________</w:t>
      </w:r>
    </w:p>
    <w:sectPr>
      <w:headerReference r:id="rId12" w:type="default"/>
      <w:footerReference r:id="rId14" w:type="default"/>
      <w:headerReference r:id="rId13" w:type="even"/>
      <w:footerReference r:id="rId15" w:type="even"/>
      <w:pgSz w:w="11906" w:h="16838"/>
      <w:pgMar w:top="1417" w:right="1134" w:bottom="1134" w:left="1417" w:header="1418" w:footer="1134" w:gutter="0"/>
      <w:pgBorders>
        <w:top w:val="none" w:sz="0" w:space="0"/>
        <w:left w:val="none" w:sz="0" w:space="0"/>
        <w:bottom w:val="none" w:sz="0" w:space="0"/>
        <w:right w:val="none" w:sz="0" w:space="0"/>
      </w:pgBorders>
      <w:pgNumType w:fmt="decimal" w:start="1"/>
      <w:cols w:space="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pPr>
                          <w:r>
                            <w:rPr>
                              <w:rFonts w:hint="eastAsia"/>
                            </w:rPr>
                            <w:t>Ⅲ</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52"/>
                    </w:pPr>
                    <w:r>
                      <w:rPr>
                        <w:rFonts w:hint="eastAsia"/>
                      </w:rPr>
                      <w:t>Ⅲ</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I</w:t>
                          </w:r>
                          <w:r>
                            <w:rPr>
                              <w:rFonts w:hint="eastAsia" w:ascii="宋体" w:hAnsi="宋体" w:cs="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I</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pPr>
                          <w:r>
                            <w:rPr>
                              <w:rFonts w:hint="eastAsia"/>
                            </w:rPr>
                            <w:t>Ⅲ</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fill on="f" focussize="0,0"/>
              <v:stroke on="f"/>
              <v:imagedata o:title=""/>
              <o:lock v:ext="edit" aspectratio="f"/>
              <v:textbox inset="0mm,0mm,0mm,0mm" style="mso-fit-shape-to-text:t;">
                <w:txbxContent>
                  <w:p>
                    <w:pPr>
                      <w:pStyle w:val="52"/>
                    </w:pPr>
                    <w:r>
                      <w:rPr>
                        <w:rFonts w:hint="eastAsia"/>
                      </w:rPr>
                      <w:t>Ⅲ</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ascii="宋体" w:hAnsi="宋体"/>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ascii="宋体" w:hAnsi="宋体"/>
                      </w:rPr>
                      <w:t>II</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HyKsI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xcA8K7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h8irCAQAAjwMAAA4AAAAAAAAAAQAgAAAAHgEAAGRycy9lMm9Eb2MueG1sUEsF&#10;BgAAAAAGAAYAWQEAAFIFAAAAAA==&#10;">
              <v:fill on="f" focussize="0,0"/>
              <v:stroke on="f"/>
              <v:imagedata o:title=""/>
              <o:lock v:ext="edit" aspectratio="f"/>
              <v:textbox inset="0mm,0mm,0mm,0mm" style="mso-fit-shape-to-text:t;">
                <w:txbxContent>
                  <w:p>
                    <w:pPr>
                      <w:pStyle w:val="5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JtqMI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SbajCAQAAjwMAAA4AAAAAAAAAAQAgAAAAHgEAAGRycy9lMm9Eb2MueG1sUEsF&#10;BgAAAAAGAAYAWQEAAFIFA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pPr>
                      <w:pStyle w:val="5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right"/>
      <w:rPr>
        <w:rFonts w:hint="default" w:eastAsia="黑体"/>
        <w:lang w:val="en-US" w:eastAsia="zh-CN"/>
      </w:rPr>
    </w:pPr>
    <w:r>
      <w:rPr>
        <w:rFonts w:ascii="宋体" w:hAnsi="宋体"/>
      </w:rPr>
      <w:t>DB</w:t>
    </w:r>
    <w:r>
      <w:rPr>
        <w:rFonts w:ascii="宋体" w:hAnsi="宋体" w:eastAsia="宋体" w:cs="宋体"/>
      </w:rPr>
      <w:t>21</w:t>
    </w:r>
    <w:r>
      <w:t>/</w:t>
    </w:r>
    <w:r>
      <w:rPr>
        <w:rFonts w:ascii="宋体" w:hAnsi="宋体"/>
      </w:rPr>
      <w:t>TXXXXX</w:t>
    </w:r>
    <w:r>
      <w:t>—</w:t>
    </w:r>
    <w:r>
      <w:rPr>
        <w:rFonts w:hint="eastAsia" w:ascii="宋体" w:hAnsi="宋体"/>
        <w:lang w:val="en-US" w:eastAsia="zh-CN"/>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hint="default" w:eastAsia="黑体"/>
        <w:lang w:val="en-US" w:eastAsia="zh-CN"/>
      </w:rPr>
    </w:pPr>
    <w:r>
      <w:rPr>
        <w:rFonts w:ascii="宋体" w:hAnsi="宋体"/>
      </w:rPr>
      <w:t>DB</w:t>
    </w:r>
    <w:r>
      <w:rPr>
        <w:rFonts w:hint="eastAsia" w:ascii="宋体" w:hAnsi="宋体" w:eastAsia="宋体" w:cs="宋体"/>
      </w:rPr>
      <w:t>21</w:t>
    </w:r>
    <w:r>
      <w:t>/</w:t>
    </w:r>
    <w:r>
      <w:rPr>
        <w:rFonts w:hint="eastAsia" w:ascii="宋体" w:hAnsi="宋体"/>
      </w:rPr>
      <w:t>T</w:t>
    </w:r>
    <w:r>
      <w:rPr>
        <w:rFonts w:ascii="宋体" w:hAnsi="宋体"/>
      </w:rPr>
      <w:t>XXXX</w:t>
    </w:r>
    <w:r>
      <w:rPr>
        <w:rFonts w:hAnsi="黑体"/>
      </w:rPr>
      <w:t>—</w:t>
    </w:r>
    <w:r>
      <w:rPr>
        <w:rFonts w:hint="eastAsia" w:ascii="宋体" w:hAnsi="宋体"/>
        <w:lang w:val="en-US" w:eastAsia="zh-CN"/>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hint="default" w:eastAsia="黑体"/>
        <w:lang w:val="en-US" w:eastAsia="zh-CN"/>
      </w:rPr>
    </w:pPr>
    <w:r>
      <w:rPr>
        <w:rFonts w:ascii="宋体" w:hAnsi="宋体"/>
      </w:rPr>
      <w:t>DB</w:t>
    </w:r>
    <w:r>
      <w:rPr>
        <w:rFonts w:hint="eastAsia" w:ascii="宋体" w:hAnsi="宋体" w:eastAsia="宋体" w:cs="宋体"/>
      </w:rPr>
      <w:t>21</w:t>
    </w:r>
    <w:r>
      <w:t>/</w:t>
    </w:r>
    <w:r>
      <w:rPr>
        <w:rFonts w:hint="eastAsia" w:ascii="宋体" w:hAnsi="宋体"/>
      </w:rPr>
      <w:t>T</w:t>
    </w:r>
    <w:r>
      <w:rPr>
        <w:rFonts w:ascii="宋体" w:hAnsi="宋体"/>
      </w:rPr>
      <w:t>XXXX</w:t>
    </w:r>
    <w:r>
      <w:rPr>
        <w:rFonts w:hAnsi="黑体"/>
      </w:rPr>
      <w:t>—</w:t>
    </w:r>
    <w:r>
      <w:rPr>
        <w:rFonts w:hint="eastAsia" w:ascii="宋体" w:hAnsi="宋体"/>
        <w:lang w:val="en-US" w:eastAsia="zh-CN"/>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Fonts w:hint="default" w:hAnsi="黑体" w:eastAsia="黑体" w:cs="黑体"/>
        <w:lang w:val="en-US" w:eastAsia="zh-CN"/>
      </w:rPr>
    </w:pPr>
    <w:r>
      <w:rPr>
        <w:rFonts w:hint="eastAsia" w:ascii="宋体" w:hAnsi="宋体" w:cs="黑体"/>
      </w:rPr>
      <w:t>DB</w:t>
    </w:r>
    <w:r>
      <w:rPr>
        <w:rFonts w:hint="eastAsia" w:ascii="宋体" w:hAnsi="宋体" w:eastAsia="宋体" w:cs="宋体"/>
      </w:rPr>
      <w:t>21</w:t>
    </w:r>
    <w:r>
      <w:rPr>
        <w:rFonts w:hint="eastAsia" w:hAnsi="黑体" w:cs="黑体"/>
      </w:rPr>
      <w:t>/</w:t>
    </w:r>
    <w:r>
      <w:rPr>
        <w:rFonts w:hint="eastAsia" w:ascii="宋体" w:hAnsi="宋体" w:cs="黑体"/>
      </w:rPr>
      <w:t>TXXXXX</w:t>
    </w:r>
    <w:r>
      <w:rPr>
        <w:rFonts w:hint="eastAsia" w:hAnsi="黑体" w:cs="黑体"/>
      </w:rPr>
      <w:t>—</w:t>
    </w:r>
    <w:r>
      <w:rPr>
        <w:rFonts w:hint="eastAsia" w:ascii="宋体" w:hAnsi="宋体" w:cs="黑体"/>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7DD49"/>
    <w:multiLevelType w:val="multilevel"/>
    <w:tmpl w:val="81A7DD49"/>
    <w:lvl w:ilvl="0" w:tentative="0">
      <w:start w:val="1"/>
      <w:numFmt w:val="decimal"/>
      <w:pStyle w:val="2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8"/>
      <w:suff w:val="nothing"/>
      <w:lvlText w:val="%1.%2.%3　"/>
      <w:lvlJc w:val="left"/>
      <w:pPr>
        <w:tabs>
          <w:tab w:val="left" w:pos="0"/>
        </w:tabs>
        <w:ind w:left="0" w:firstLine="0"/>
      </w:pPr>
      <w:rPr>
        <w:rFonts w:hint="eastAsia" w:ascii="黑体" w:hAnsi="Times New Roman" w:eastAsia="黑体"/>
        <w:b w:val="0"/>
        <w:i w:val="0"/>
        <w:sz w:val="21"/>
      </w:rPr>
    </w:lvl>
    <w:lvl w:ilvl="3" w:tentative="0">
      <w:start w:val="1"/>
      <w:numFmt w:val="decimal"/>
      <w:pStyle w:val="29"/>
      <w:suff w:val="nothing"/>
      <w:lvlText w:val="%1.%2.%3.%4　"/>
      <w:lvlJc w:val="left"/>
      <w:pPr>
        <w:tabs>
          <w:tab w:val="left" w:pos="0"/>
        </w:tabs>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8BB37783"/>
    <w:multiLevelType w:val="singleLevel"/>
    <w:tmpl w:val="8BB37783"/>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
    <w:nsid w:val="8D461F21"/>
    <w:multiLevelType w:val="multilevel"/>
    <w:tmpl w:val="8D461F21"/>
    <w:lvl w:ilvl="0" w:tentative="0">
      <w:start w:val="3"/>
      <w:numFmt w:val="decimal"/>
      <w:lvlText w:val="第%1章"/>
      <w:lvlJc w:val="left"/>
      <w:pPr>
        <w:ind w:left="425" w:hanging="425"/>
      </w:pPr>
      <w:rPr>
        <w:rFonts w:hint="eastAsia"/>
      </w:rPr>
    </w:lvl>
    <w:lvl w:ilvl="1" w:tentative="0">
      <w:start w:val="4"/>
      <w:numFmt w:val="decimal"/>
      <w:lvlText w:val="%1.%2"/>
      <w:lvlJc w:val="left"/>
      <w:pPr>
        <w:ind w:left="425" w:hanging="425"/>
      </w:pPr>
      <w:rPr>
        <w:rFonts w:hint="eastAsia"/>
      </w:rPr>
    </w:lvl>
    <w:lvl w:ilvl="2" w:tentative="0">
      <w:start w:val="1"/>
      <w:numFmt w:val="decimal"/>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pStyle w:val="8"/>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chineseCounting"/>
      <w:lvlText w:val="%8、"/>
      <w:lvlJc w:val="left"/>
      <w:pPr>
        <w:ind w:left="4394" w:hanging="1418"/>
      </w:pPr>
      <w:rPr>
        <w:rFonts w:hint="eastAsia" w:ascii="宋体" w:hAnsi="宋体" w:eastAsia="宋体" w:cs="宋体"/>
      </w:rPr>
    </w:lvl>
    <w:lvl w:ilvl="8" w:tentative="0">
      <w:start w:val="1"/>
      <w:numFmt w:val="decimal"/>
      <w:lvlText w:val="%1.%2.%3.%4.%5.%6.%7.%8.%9"/>
      <w:lvlJc w:val="left"/>
      <w:pPr>
        <w:ind w:left="5102" w:hanging="1700"/>
      </w:pPr>
      <w:rPr>
        <w:rFonts w:hint="eastAsia"/>
      </w:rPr>
    </w:lvl>
  </w:abstractNum>
  <w:abstractNum w:abstractNumId="3">
    <w:nsid w:val="8E330C46"/>
    <w:multiLevelType w:val="multilevel"/>
    <w:tmpl w:val="8E330C46"/>
    <w:lvl w:ilvl="0" w:tentative="0">
      <w:start w:val="1"/>
      <w:numFmt w:val="upperLetter"/>
      <w:pStyle w:val="62"/>
      <w:suff w:val="nothing"/>
      <w:lvlText w:val="附　录　%1"/>
      <w:lvlJc w:val="left"/>
      <w:pPr>
        <w:tabs>
          <w:tab w:val="left" w:pos="420"/>
        </w:tabs>
        <w:ind w:left="432" w:hanging="432"/>
      </w:pPr>
      <w:rPr>
        <w:rFonts w:hint="default" w:ascii="黑体" w:hAnsi="黑体" w:eastAsia="黑体" w:cs="黑体"/>
        <w:sz w:val="21"/>
        <w:szCs w:val="21"/>
      </w:rPr>
    </w:lvl>
    <w:lvl w:ilvl="1" w:tentative="0">
      <w:start w:val="1"/>
      <w:numFmt w:val="decimal"/>
      <w:pStyle w:val="63"/>
      <w:suff w:val="nothing"/>
      <w:lvlText w:val="%1.%2　"/>
      <w:lvlJc w:val="left"/>
      <w:pPr>
        <w:tabs>
          <w:tab w:val="left" w:pos="420"/>
        </w:tabs>
        <w:ind w:left="575" w:hanging="575"/>
      </w:pPr>
      <w:rPr>
        <w:rFonts w:hint="default" w:ascii="黑体" w:hAnsi="黑体" w:eastAsia="黑体" w:cs="黑体"/>
        <w:sz w:val="21"/>
        <w:szCs w:val="21"/>
      </w:rPr>
    </w:lvl>
    <w:lvl w:ilvl="2" w:tentative="0">
      <w:start w:val="1"/>
      <w:numFmt w:val="decimal"/>
      <w:pStyle w:val="64"/>
      <w:suff w:val="nothing"/>
      <w:lvlText w:val="%1.%2.%3　"/>
      <w:lvlJc w:val="left"/>
      <w:pPr>
        <w:tabs>
          <w:tab w:val="left" w:pos="420"/>
        </w:tabs>
        <w:ind w:left="720" w:hanging="720"/>
      </w:pPr>
      <w:rPr>
        <w:rFonts w:hint="default" w:ascii="黑体" w:hAnsi="黑体" w:eastAsia="黑体" w:cs="黑体"/>
        <w:sz w:val="21"/>
        <w:szCs w:val="21"/>
      </w:rPr>
    </w:lvl>
    <w:lvl w:ilvl="3" w:tentative="0">
      <w:start w:val="1"/>
      <w:numFmt w:val="decimal"/>
      <w:pStyle w:val="66"/>
      <w:suff w:val="nothing"/>
      <w:lvlText w:val="%1.%2.%3.%4　"/>
      <w:lvlJc w:val="left"/>
      <w:pPr>
        <w:tabs>
          <w:tab w:val="left" w:pos="0"/>
        </w:tabs>
        <w:ind w:left="864" w:hanging="864"/>
      </w:pPr>
      <w:rPr>
        <w:rFonts w:hint="default" w:ascii="黑体" w:hAnsi="黑体" w:eastAsia="黑体" w:cs="黑体"/>
        <w:sz w:val="21"/>
        <w:szCs w:val="21"/>
      </w:rPr>
    </w:lvl>
    <w:lvl w:ilvl="4" w:tentative="0">
      <w:start w:val="1"/>
      <w:numFmt w:val="decimal"/>
      <w:pStyle w:val="67"/>
      <w:suff w:val="nothing"/>
      <w:lvlText w:val="%1.%2.%3.%4.%5　"/>
      <w:lvlJc w:val="left"/>
      <w:pPr>
        <w:tabs>
          <w:tab w:val="left" w:pos="420"/>
        </w:tabs>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913EEC7D"/>
    <w:multiLevelType w:val="singleLevel"/>
    <w:tmpl w:val="913EEC7D"/>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5">
    <w:nsid w:val="978912AB"/>
    <w:multiLevelType w:val="singleLevel"/>
    <w:tmpl w:val="978912AB"/>
    <w:lvl w:ilvl="0" w:tentative="0">
      <w:start w:val="1"/>
      <w:numFmt w:val="decimal"/>
      <w:suff w:val="space"/>
      <w:lvlText w:val="%1）"/>
      <w:lvlJc w:val="left"/>
      <w:pPr>
        <w:tabs>
          <w:tab w:val="left" w:pos="0"/>
        </w:tabs>
        <w:ind w:left="1260" w:leftChars="0" w:hanging="420" w:firstLineChars="0"/>
      </w:pPr>
      <w:rPr>
        <w:rFonts w:hint="default" w:ascii="宋体" w:hAnsi="宋体" w:eastAsia="宋体" w:cs="宋体"/>
      </w:rPr>
    </w:lvl>
  </w:abstractNum>
  <w:abstractNum w:abstractNumId="6">
    <w:nsid w:val="98B76D1B"/>
    <w:multiLevelType w:val="singleLevel"/>
    <w:tmpl w:val="98B76D1B"/>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7">
    <w:nsid w:val="A0FF030A"/>
    <w:multiLevelType w:val="singleLevel"/>
    <w:tmpl w:val="A0FF030A"/>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8">
    <w:nsid w:val="A3048D4F"/>
    <w:multiLevelType w:val="singleLevel"/>
    <w:tmpl w:val="A3048D4F"/>
    <w:lvl w:ilvl="0" w:tentative="0">
      <w:start w:val="1"/>
      <w:numFmt w:val="decimal"/>
      <w:suff w:val="space"/>
      <w:lvlText w:val="%1）"/>
      <w:lvlJc w:val="left"/>
      <w:pPr>
        <w:tabs>
          <w:tab w:val="left" w:pos="0"/>
        </w:tabs>
        <w:ind w:left="1260" w:leftChars="0" w:hanging="420" w:firstLineChars="0"/>
      </w:pPr>
      <w:rPr>
        <w:rFonts w:hint="default" w:ascii="宋体" w:hAnsi="宋体" w:eastAsia="宋体" w:cs="宋体"/>
      </w:rPr>
    </w:lvl>
  </w:abstractNum>
  <w:abstractNum w:abstractNumId="9">
    <w:nsid w:val="AD7EDE5F"/>
    <w:multiLevelType w:val="singleLevel"/>
    <w:tmpl w:val="AD7EDE5F"/>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0">
    <w:nsid w:val="AF82F6C3"/>
    <w:multiLevelType w:val="singleLevel"/>
    <w:tmpl w:val="AF82F6C3"/>
    <w:lvl w:ilvl="0" w:tentative="0">
      <w:start w:val="1"/>
      <w:numFmt w:val="decimal"/>
      <w:suff w:val="space"/>
      <w:lvlText w:val="%1）"/>
      <w:lvlJc w:val="left"/>
      <w:pPr>
        <w:tabs>
          <w:tab w:val="left" w:pos="0"/>
        </w:tabs>
        <w:ind w:left="1260" w:leftChars="0" w:hanging="420" w:firstLineChars="0"/>
      </w:pPr>
      <w:rPr>
        <w:rFonts w:hint="default" w:ascii="宋体" w:hAnsi="宋体" w:eastAsia="宋体" w:cs="宋体"/>
      </w:rPr>
    </w:lvl>
  </w:abstractNum>
  <w:abstractNum w:abstractNumId="11">
    <w:nsid w:val="B265FA86"/>
    <w:multiLevelType w:val="singleLevel"/>
    <w:tmpl w:val="B265FA86"/>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2">
    <w:nsid w:val="C4D5F14A"/>
    <w:multiLevelType w:val="singleLevel"/>
    <w:tmpl w:val="C4D5F14A"/>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3">
    <w:nsid w:val="D5625986"/>
    <w:multiLevelType w:val="singleLevel"/>
    <w:tmpl w:val="D5625986"/>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4">
    <w:nsid w:val="DDEF7296"/>
    <w:multiLevelType w:val="multilevel"/>
    <w:tmpl w:val="DDEF7296"/>
    <w:lvl w:ilvl="0" w:tentative="0">
      <w:start w:val="1"/>
      <w:numFmt w:val="decimal"/>
      <w:pStyle w:val="4"/>
      <w:lvlText w:val="%1."/>
      <w:lvlJc w:val="left"/>
      <w:pPr>
        <w:ind w:left="432" w:hanging="432"/>
      </w:pPr>
      <w:rPr>
        <w:rFonts w:hint="default"/>
      </w:rPr>
    </w:lvl>
    <w:lvl w:ilvl="1" w:tentative="0">
      <w:start w:val="1"/>
      <w:numFmt w:val="decimal"/>
      <w:lvlText w:val="%1.%2."/>
      <w:lvlJc w:val="left"/>
      <w:pPr>
        <w:tabs>
          <w:tab w:val="left" w:pos="0"/>
        </w:tabs>
        <w:ind w:left="0" w:leftChars="0" w:firstLine="0" w:firstLineChars="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5">
    <w:nsid w:val="E72F7B46"/>
    <w:multiLevelType w:val="singleLevel"/>
    <w:tmpl w:val="E72F7B46"/>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6">
    <w:nsid w:val="EE12A6D5"/>
    <w:multiLevelType w:val="multilevel"/>
    <w:tmpl w:val="EE12A6D5"/>
    <w:lvl w:ilvl="0" w:tentative="0">
      <w:start w:val="1"/>
      <w:numFmt w:val="decimal"/>
      <w:pStyle w:val="59"/>
      <w:suff w:val="nothing"/>
      <w:lvlText w:val="注%1："/>
      <w:lvlJc w:val="left"/>
      <w:pPr>
        <w:tabs>
          <w:tab w:val="left" w:pos="0"/>
        </w:tabs>
        <w:ind w:left="860" w:leftChars="0" w:hanging="497" w:firstLineChars="0"/>
      </w:pPr>
      <w:rPr>
        <w:rFonts w:hint="default" w:ascii="黑体" w:eastAsia="黑体"/>
        <w:b w:val="0"/>
        <w:i w:val="0"/>
        <w:sz w:val="18"/>
        <w:szCs w:val="18"/>
        <w:vertAlign w:val="baseline"/>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7">
    <w:nsid w:val="FF92D0F7"/>
    <w:multiLevelType w:val="multilevel"/>
    <w:tmpl w:val="FF92D0F7"/>
    <w:lvl w:ilvl="0" w:tentative="0">
      <w:start w:val="1"/>
      <w:numFmt w:val="decimal"/>
      <w:pStyle w:val="71"/>
      <w:suff w:val="nothing"/>
      <w:lvlText w:val="3.%1　"/>
      <w:lvlJc w:val="left"/>
      <w:pPr>
        <w:tabs>
          <w:tab w:val="left" w:pos="0"/>
        </w:tabs>
        <w:ind w:left="425" w:leftChars="0" w:hanging="425" w:firstLineChars="0"/>
      </w:pPr>
      <w:rPr>
        <w:rFonts w:hint="default" w:ascii="黑体" w:hAnsi="黑体" w:eastAsia="黑体" w:cs="黑体"/>
      </w:rPr>
    </w:lvl>
    <w:lvl w:ilvl="1" w:tentative="0">
      <w:start w:val="1"/>
      <w:numFmt w:val="none"/>
      <w:lvlText w:val=""/>
      <w:lvlJc w:val="left"/>
      <w:pPr>
        <w:tabs>
          <w:tab w:val="left" w:pos="840"/>
        </w:tabs>
        <w:ind w:left="840" w:leftChars="0" w:hanging="420" w:firstLineChars="0"/>
      </w:pPr>
      <w:rPr>
        <w:rFonts w:hint="default" w:ascii="宋体" w:hAnsi="宋体" w:eastAsia="宋体" w:cs="宋体"/>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8">
    <w:nsid w:val="FFF70790"/>
    <w:multiLevelType w:val="singleLevel"/>
    <w:tmpl w:val="FFF70790"/>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9">
    <w:nsid w:val="02AB8381"/>
    <w:multiLevelType w:val="multilevel"/>
    <w:tmpl w:val="02AB8381"/>
    <w:lvl w:ilvl="0" w:tentative="0">
      <w:start w:val="1"/>
      <w:numFmt w:val="none"/>
      <w:pStyle w:val="58"/>
      <w:suff w:val="nothing"/>
      <w:lvlText w:val="注："/>
      <w:lvlJc w:val="left"/>
      <w:pPr>
        <w:tabs>
          <w:tab w:val="left" w:pos="0"/>
        </w:tabs>
        <w:ind w:left="897" w:leftChars="0" w:hanging="477" w:firstLineChars="0"/>
      </w:pPr>
      <w:rPr>
        <w:rFonts w:hint="default" w:ascii="宋体" w:hAnsi="宋体" w:eastAsia="黑体" w:cs="宋体"/>
        <w:b w:val="0"/>
        <w:i w:val="0"/>
        <w:sz w:val="18"/>
        <w:lang w:val="en-US"/>
      </w:rPr>
    </w:lvl>
    <w:lvl w:ilvl="1" w:tentative="0">
      <w:start w:val="1"/>
      <w:numFmt w:val="lowerLetter"/>
      <w:lvlText w:val="%2)"/>
      <w:lvlJc w:val="left"/>
      <w:pPr>
        <w:tabs>
          <w:tab w:val="left" w:pos="0"/>
        </w:tabs>
        <w:ind w:left="572" w:hanging="629"/>
      </w:pPr>
      <w:rPr>
        <w:rFonts w:hint="eastAsia"/>
      </w:rPr>
    </w:lvl>
    <w:lvl w:ilvl="2" w:tentative="0">
      <w:start w:val="1"/>
      <w:numFmt w:val="lowerRoman"/>
      <w:lvlText w:val="%3."/>
      <w:lvlJc w:val="right"/>
      <w:pPr>
        <w:tabs>
          <w:tab w:val="left" w:pos="0"/>
        </w:tabs>
        <w:ind w:left="572" w:hanging="629"/>
      </w:pPr>
      <w:rPr>
        <w:rFonts w:hint="eastAsia"/>
      </w:rPr>
    </w:lvl>
    <w:lvl w:ilvl="3" w:tentative="0">
      <w:start w:val="1"/>
      <w:numFmt w:val="decimal"/>
      <w:lvlText w:val="%4."/>
      <w:lvlJc w:val="left"/>
      <w:pPr>
        <w:tabs>
          <w:tab w:val="left" w:pos="0"/>
        </w:tabs>
        <w:ind w:left="572" w:hanging="629"/>
      </w:pPr>
      <w:rPr>
        <w:rFonts w:hint="eastAsia"/>
      </w:rPr>
    </w:lvl>
    <w:lvl w:ilvl="4" w:tentative="0">
      <w:start w:val="1"/>
      <w:numFmt w:val="lowerLetter"/>
      <w:lvlText w:val="%5)"/>
      <w:lvlJc w:val="left"/>
      <w:pPr>
        <w:tabs>
          <w:tab w:val="left" w:pos="0"/>
        </w:tabs>
        <w:ind w:left="572" w:hanging="629"/>
      </w:pPr>
      <w:rPr>
        <w:rFonts w:hint="eastAsia"/>
      </w:rPr>
    </w:lvl>
    <w:lvl w:ilvl="5" w:tentative="0">
      <w:start w:val="1"/>
      <w:numFmt w:val="lowerRoman"/>
      <w:lvlText w:val="%6."/>
      <w:lvlJc w:val="right"/>
      <w:pPr>
        <w:tabs>
          <w:tab w:val="left" w:pos="0"/>
        </w:tabs>
        <w:ind w:left="572" w:hanging="629"/>
      </w:pPr>
      <w:rPr>
        <w:rFonts w:hint="eastAsia"/>
      </w:rPr>
    </w:lvl>
    <w:lvl w:ilvl="6" w:tentative="0">
      <w:start w:val="1"/>
      <w:numFmt w:val="decimal"/>
      <w:lvlText w:val="%7."/>
      <w:lvlJc w:val="left"/>
      <w:pPr>
        <w:tabs>
          <w:tab w:val="left" w:pos="0"/>
        </w:tabs>
        <w:ind w:left="572" w:hanging="629"/>
      </w:pPr>
      <w:rPr>
        <w:rFonts w:hint="eastAsia"/>
      </w:rPr>
    </w:lvl>
    <w:lvl w:ilvl="7" w:tentative="0">
      <w:start w:val="1"/>
      <w:numFmt w:val="lowerLetter"/>
      <w:lvlText w:val="%8)"/>
      <w:lvlJc w:val="left"/>
      <w:pPr>
        <w:tabs>
          <w:tab w:val="left" w:pos="0"/>
        </w:tabs>
        <w:ind w:left="572" w:hanging="629"/>
      </w:pPr>
      <w:rPr>
        <w:rFonts w:hint="eastAsia"/>
      </w:rPr>
    </w:lvl>
    <w:lvl w:ilvl="8" w:tentative="0">
      <w:start w:val="1"/>
      <w:numFmt w:val="lowerRoman"/>
      <w:lvlText w:val="%9."/>
      <w:lvlJc w:val="right"/>
      <w:pPr>
        <w:tabs>
          <w:tab w:val="left" w:pos="0"/>
        </w:tabs>
        <w:ind w:left="572" w:hanging="629"/>
      </w:pPr>
      <w:rPr>
        <w:rFonts w:hint="eastAsia"/>
      </w:rPr>
    </w:lvl>
  </w:abstractNum>
  <w:abstractNum w:abstractNumId="20">
    <w:nsid w:val="051F1CE6"/>
    <w:multiLevelType w:val="singleLevel"/>
    <w:tmpl w:val="051F1CE6"/>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1">
    <w:nsid w:val="05484912"/>
    <w:multiLevelType w:val="singleLevel"/>
    <w:tmpl w:val="05484912"/>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2">
    <w:nsid w:val="0DC80201"/>
    <w:multiLevelType w:val="singleLevel"/>
    <w:tmpl w:val="0DC80201"/>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3">
    <w:nsid w:val="1205FA3C"/>
    <w:multiLevelType w:val="singleLevel"/>
    <w:tmpl w:val="1205FA3C"/>
    <w:lvl w:ilvl="0" w:tentative="0">
      <w:start w:val="1"/>
      <w:numFmt w:val="decimal"/>
      <w:suff w:val="space"/>
      <w:lvlText w:val="%1）"/>
      <w:lvlJc w:val="left"/>
      <w:pPr>
        <w:tabs>
          <w:tab w:val="left" w:pos="0"/>
        </w:tabs>
        <w:ind w:left="1260" w:leftChars="0" w:hanging="420" w:firstLineChars="0"/>
      </w:pPr>
      <w:rPr>
        <w:rFonts w:hint="default" w:ascii="宋体" w:hAnsi="宋体" w:eastAsia="宋体" w:cs="宋体"/>
      </w:rPr>
    </w:lvl>
  </w:abstractNum>
  <w:abstractNum w:abstractNumId="24">
    <w:nsid w:val="16139FCD"/>
    <w:multiLevelType w:val="singleLevel"/>
    <w:tmpl w:val="16139FCD"/>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5">
    <w:nsid w:val="26013B5C"/>
    <w:multiLevelType w:val="singleLevel"/>
    <w:tmpl w:val="26013B5C"/>
    <w:lvl w:ilvl="0" w:tentative="0">
      <w:start w:val="1"/>
      <w:numFmt w:val="decimal"/>
      <w:suff w:val="space"/>
      <w:lvlText w:val="%1）"/>
      <w:lvlJc w:val="left"/>
      <w:pPr>
        <w:tabs>
          <w:tab w:val="left" w:pos="0"/>
        </w:tabs>
        <w:ind w:left="1260" w:leftChars="0" w:hanging="420" w:firstLineChars="0"/>
      </w:pPr>
      <w:rPr>
        <w:rFonts w:hint="default" w:ascii="宋体" w:hAnsi="宋体" w:eastAsia="宋体" w:cs="宋体"/>
      </w:rPr>
    </w:lvl>
  </w:abstractNum>
  <w:abstractNum w:abstractNumId="26">
    <w:nsid w:val="2B7B8A77"/>
    <w:multiLevelType w:val="singleLevel"/>
    <w:tmpl w:val="2B7B8A77"/>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7">
    <w:nsid w:val="2C5917C3"/>
    <w:multiLevelType w:val="multilevel"/>
    <w:tmpl w:val="2C5917C3"/>
    <w:lvl w:ilvl="0" w:tentative="0">
      <w:start w:val="1"/>
      <w:numFmt w:val="none"/>
      <w:suff w:val="nothing"/>
      <w:lvlText w:val="%1——"/>
      <w:lvlJc w:val="left"/>
      <w:pPr>
        <w:ind w:left="833" w:hanging="408"/>
      </w:pPr>
      <w:rPr>
        <w:rFonts w:hint="eastAsia"/>
      </w:rPr>
    </w:lvl>
    <w:lvl w:ilvl="1" w:tentative="0">
      <w:start w:val="1"/>
      <w:numFmt w:val="bullet"/>
      <w:pStyle w:val="60"/>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8">
    <w:nsid w:val="2E839026"/>
    <w:multiLevelType w:val="singleLevel"/>
    <w:tmpl w:val="2E839026"/>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9">
    <w:nsid w:val="3B03CC34"/>
    <w:multiLevelType w:val="singleLevel"/>
    <w:tmpl w:val="3B03CC34"/>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0">
    <w:nsid w:val="3DB2752B"/>
    <w:multiLevelType w:val="singleLevel"/>
    <w:tmpl w:val="3DB2752B"/>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1">
    <w:nsid w:val="4B95902F"/>
    <w:multiLevelType w:val="singleLevel"/>
    <w:tmpl w:val="4B95902F"/>
    <w:lvl w:ilvl="0" w:tentative="0">
      <w:start w:val="1"/>
      <w:numFmt w:val="decimal"/>
      <w:suff w:val="space"/>
      <w:lvlText w:val="%1）"/>
      <w:lvlJc w:val="left"/>
      <w:pPr>
        <w:tabs>
          <w:tab w:val="left" w:pos="0"/>
        </w:tabs>
        <w:ind w:left="1259" w:leftChars="0" w:hanging="420" w:firstLineChars="0"/>
      </w:pPr>
      <w:rPr>
        <w:rFonts w:hint="default"/>
      </w:rPr>
    </w:lvl>
  </w:abstractNum>
  <w:abstractNum w:abstractNumId="32">
    <w:nsid w:val="4F1AE6FA"/>
    <w:multiLevelType w:val="singleLevel"/>
    <w:tmpl w:val="4F1AE6FA"/>
    <w:lvl w:ilvl="0" w:tentative="0">
      <w:start w:val="1"/>
      <w:numFmt w:val="decimal"/>
      <w:suff w:val="space"/>
      <w:lvlText w:val="%1）"/>
      <w:lvlJc w:val="left"/>
      <w:pPr>
        <w:tabs>
          <w:tab w:val="left" w:pos="397"/>
        </w:tabs>
        <w:ind w:left="420" w:leftChars="0" w:hanging="454" w:firstLineChars="0"/>
      </w:pPr>
      <w:rPr>
        <w:rFonts w:hint="default" w:ascii="宋体" w:hAnsi="宋体" w:eastAsia="宋体" w:cs="宋体"/>
      </w:rPr>
    </w:lvl>
  </w:abstractNum>
  <w:abstractNum w:abstractNumId="33">
    <w:nsid w:val="54C5F330"/>
    <w:multiLevelType w:val="singleLevel"/>
    <w:tmpl w:val="54C5F330"/>
    <w:lvl w:ilvl="0" w:tentative="0">
      <w:start w:val="1"/>
      <w:numFmt w:val="decimal"/>
      <w:pStyle w:val="68"/>
      <w:suff w:val="nothing"/>
      <w:lvlText w:val="表%1  "/>
      <w:lvlJc w:val="left"/>
      <w:pPr>
        <w:tabs>
          <w:tab w:val="left" w:pos="0"/>
        </w:tabs>
        <w:ind w:left="0" w:leftChars="0" w:firstLine="0" w:firstLineChars="0"/>
      </w:pPr>
      <w:rPr>
        <w:rFonts w:hint="default" w:ascii="黑体" w:hAnsi="黑体" w:eastAsia="黑体" w:cs="黑体"/>
        <w:sz w:val="21"/>
        <w:szCs w:val="21"/>
      </w:rPr>
    </w:lvl>
  </w:abstractNum>
  <w:abstractNum w:abstractNumId="34">
    <w:nsid w:val="58A0C4C6"/>
    <w:multiLevelType w:val="singleLevel"/>
    <w:tmpl w:val="58A0C4C6"/>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5">
    <w:nsid w:val="5AF7B3F9"/>
    <w:multiLevelType w:val="singleLevel"/>
    <w:tmpl w:val="5AF7B3F9"/>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6">
    <w:nsid w:val="62EC3386"/>
    <w:multiLevelType w:val="singleLevel"/>
    <w:tmpl w:val="62EC3386"/>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7">
    <w:nsid w:val="696D1A1B"/>
    <w:multiLevelType w:val="singleLevel"/>
    <w:tmpl w:val="696D1A1B"/>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8">
    <w:nsid w:val="6E71582F"/>
    <w:multiLevelType w:val="singleLevel"/>
    <w:tmpl w:val="6E71582F"/>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9">
    <w:nsid w:val="70D8CE05"/>
    <w:multiLevelType w:val="singleLevel"/>
    <w:tmpl w:val="70D8CE05"/>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40">
    <w:nsid w:val="7183EB69"/>
    <w:multiLevelType w:val="singleLevel"/>
    <w:tmpl w:val="7183EB69"/>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41">
    <w:nsid w:val="76FCF89D"/>
    <w:multiLevelType w:val="multilevel"/>
    <w:tmpl w:val="76FCF89D"/>
    <w:lvl w:ilvl="0" w:tentative="0">
      <w:start w:val="1"/>
      <w:numFmt w:val="decimal"/>
      <w:pStyle w:val="5"/>
      <w:lvlText w:val="A.%1"/>
      <w:lvlJc w:val="left"/>
      <w:pPr>
        <w:ind w:left="840" w:hanging="420"/>
      </w:pPr>
      <w:rPr>
        <w:rFonts w:hint="default" w:ascii="黑体" w:hAnsi="黑体" w:eastAsia="黑体" w:cs="黑体"/>
        <w:sz w:val="21"/>
        <w:szCs w:val="21"/>
      </w:rPr>
    </w:lvl>
    <w:lvl w:ilvl="1" w:tentative="0">
      <w:start w:val="1"/>
      <w:numFmt w:val="decimal"/>
      <w:pStyle w:val="6"/>
      <w:lvlText w:val="A.%1.%2"/>
      <w:lvlJc w:val="left"/>
      <w:pPr>
        <w:ind w:left="1260" w:hanging="420"/>
      </w:pPr>
      <w:rPr>
        <w:rFonts w:hint="default" w:ascii="黑体" w:hAnsi="黑体" w:eastAsia="黑体" w:cs="黑体"/>
        <w:sz w:val="21"/>
        <w:szCs w:val="21"/>
      </w:rPr>
    </w:lvl>
    <w:lvl w:ilvl="2" w:tentative="0">
      <w:start w:val="1"/>
      <w:numFmt w:val="decimal"/>
      <w:pStyle w:val="7"/>
      <w:lvlText w:val="A.%1.%2.%3"/>
      <w:lvlJc w:val="left"/>
      <w:pPr>
        <w:ind w:left="1680" w:hanging="1680"/>
      </w:pPr>
      <w:rPr>
        <w:rFonts w:hint="default" w:ascii="宋体" w:hAnsi="宋体" w:eastAsia="宋体" w:cs="宋体"/>
      </w:rPr>
    </w:lvl>
    <w:lvl w:ilvl="3" w:tentative="0">
      <w:start w:val="1"/>
      <w:numFmt w:val="decimal"/>
      <w:lvlText w:val="%4."/>
      <w:lvlJc w:val="left"/>
      <w:pPr>
        <w:ind w:left="2100" w:hanging="420"/>
      </w:pPr>
      <w:rPr>
        <w:rFonts w:hint="default" w:ascii="宋体" w:hAnsi="宋体" w:eastAsia="宋体" w:cs="宋体"/>
      </w:rPr>
    </w:lvl>
    <w:lvl w:ilvl="4" w:tentative="0">
      <w:start w:val="1"/>
      <w:numFmt w:val="lowerLetter"/>
      <w:lvlText w:val="%5)"/>
      <w:lvlJc w:val="left"/>
      <w:pPr>
        <w:ind w:left="2520" w:hanging="420"/>
      </w:pPr>
      <w:rPr>
        <w:rFonts w:hint="default" w:ascii="宋体" w:hAnsi="宋体" w:eastAsia="宋体" w:cs="宋体"/>
      </w:r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792AFD87"/>
    <w:multiLevelType w:val="singleLevel"/>
    <w:tmpl w:val="792AFD87"/>
    <w:lvl w:ilvl="0" w:tentative="0">
      <w:start w:val="1"/>
      <w:numFmt w:val="decimal"/>
      <w:pStyle w:val="70"/>
      <w:suff w:val="nothing"/>
      <w:lvlText w:val="图%1  "/>
      <w:lvlJc w:val="left"/>
      <w:pPr>
        <w:tabs>
          <w:tab w:val="left" w:pos="0"/>
        </w:tabs>
        <w:ind w:left="0" w:firstLine="397"/>
      </w:pPr>
      <w:rPr>
        <w:rFonts w:hint="default" w:ascii="黑体" w:hAnsi="黑体" w:eastAsia="黑体" w:cs="黑体"/>
        <w:sz w:val="21"/>
        <w:szCs w:val="21"/>
      </w:rPr>
    </w:lvl>
  </w:abstractNum>
  <w:num w:numId="1">
    <w:abstractNumId w:val="14"/>
  </w:num>
  <w:num w:numId="2">
    <w:abstractNumId w:val="41"/>
  </w:num>
  <w:num w:numId="3">
    <w:abstractNumId w:val="2"/>
  </w:num>
  <w:num w:numId="4">
    <w:abstractNumId w:val="0"/>
  </w:num>
  <w:num w:numId="5">
    <w:abstractNumId w:val="19"/>
  </w:num>
  <w:num w:numId="6">
    <w:abstractNumId w:val="16"/>
  </w:num>
  <w:num w:numId="7">
    <w:abstractNumId w:val="27"/>
  </w:num>
  <w:num w:numId="8">
    <w:abstractNumId w:val="3"/>
  </w:num>
  <w:num w:numId="9">
    <w:abstractNumId w:val="33"/>
  </w:num>
  <w:num w:numId="10">
    <w:abstractNumId w:val="42"/>
  </w:num>
  <w:num w:numId="11">
    <w:abstractNumId w:val="17"/>
  </w:num>
  <w:num w:numId="12">
    <w:abstractNumId w:val="12"/>
  </w:num>
  <w:num w:numId="13">
    <w:abstractNumId w:val="35"/>
  </w:num>
  <w:num w:numId="14">
    <w:abstractNumId w:val="9"/>
  </w:num>
  <w:num w:numId="15">
    <w:abstractNumId w:val="38"/>
  </w:num>
  <w:num w:numId="16">
    <w:abstractNumId w:val="40"/>
  </w:num>
  <w:num w:numId="17">
    <w:abstractNumId w:val="39"/>
  </w:num>
  <w:num w:numId="18">
    <w:abstractNumId w:val="23"/>
  </w:num>
  <w:num w:numId="19">
    <w:abstractNumId w:val="25"/>
  </w:num>
  <w:num w:numId="20">
    <w:abstractNumId w:val="21"/>
  </w:num>
  <w:num w:numId="21">
    <w:abstractNumId w:val="8"/>
  </w:num>
  <w:num w:numId="22">
    <w:abstractNumId w:val="7"/>
  </w:num>
  <w:num w:numId="23">
    <w:abstractNumId w:val="20"/>
  </w:num>
  <w:num w:numId="24">
    <w:abstractNumId w:val="26"/>
  </w:num>
  <w:num w:numId="25">
    <w:abstractNumId w:val="11"/>
  </w:num>
  <w:num w:numId="26">
    <w:abstractNumId w:val="29"/>
  </w:num>
  <w:num w:numId="27">
    <w:abstractNumId w:val="6"/>
  </w:num>
  <w:num w:numId="28">
    <w:abstractNumId w:val="22"/>
  </w:num>
  <w:num w:numId="29">
    <w:abstractNumId w:val="30"/>
  </w:num>
  <w:num w:numId="30">
    <w:abstractNumId w:val="28"/>
  </w:num>
  <w:num w:numId="31">
    <w:abstractNumId w:val="4"/>
  </w:num>
  <w:num w:numId="32">
    <w:abstractNumId w:val="31"/>
  </w:num>
  <w:num w:numId="33">
    <w:abstractNumId w:val="18"/>
  </w:num>
  <w:num w:numId="34">
    <w:abstractNumId w:val="1"/>
  </w:num>
  <w:num w:numId="35">
    <w:abstractNumId w:val="34"/>
  </w:num>
  <w:num w:numId="36">
    <w:abstractNumId w:val="13"/>
  </w:num>
  <w:num w:numId="37">
    <w:abstractNumId w:val="36"/>
  </w:num>
  <w:num w:numId="38">
    <w:abstractNumId w:val="24"/>
  </w:num>
  <w:num w:numId="39">
    <w:abstractNumId w:val="32"/>
  </w:num>
  <w:num w:numId="40">
    <w:abstractNumId w:val="15"/>
  </w:num>
  <w:num w:numId="41">
    <w:abstractNumId w:val="10"/>
  </w:num>
  <w:num w:numId="42">
    <w:abstractNumId w:val="3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GMzZjVlNmQ0N2UyMjUyOWIyOWM3MDA1NGExZjMifQ=="/>
  </w:docVars>
  <w:rsids>
    <w:rsidRoot w:val="404E6F69"/>
    <w:rsid w:val="003E266D"/>
    <w:rsid w:val="00407C36"/>
    <w:rsid w:val="0044018C"/>
    <w:rsid w:val="00470BB6"/>
    <w:rsid w:val="005317E5"/>
    <w:rsid w:val="00535A7B"/>
    <w:rsid w:val="00850CB6"/>
    <w:rsid w:val="00DE6157"/>
    <w:rsid w:val="014E68E4"/>
    <w:rsid w:val="01AE15BA"/>
    <w:rsid w:val="02493090"/>
    <w:rsid w:val="025832D3"/>
    <w:rsid w:val="025F43A9"/>
    <w:rsid w:val="02691BB2"/>
    <w:rsid w:val="02785724"/>
    <w:rsid w:val="02B07151"/>
    <w:rsid w:val="02C75BEA"/>
    <w:rsid w:val="02FE20CD"/>
    <w:rsid w:val="030C0CEA"/>
    <w:rsid w:val="03445196"/>
    <w:rsid w:val="038A3684"/>
    <w:rsid w:val="039B5323"/>
    <w:rsid w:val="03DF2754"/>
    <w:rsid w:val="0405374B"/>
    <w:rsid w:val="04504BAA"/>
    <w:rsid w:val="04896B30"/>
    <w:rsid w:val="0493692F"/>
    <w:rsid w:val="04A96A57"/>
    <w:rsid w:val="04E2157A"/>
    <w:rsid w:val="04FC1F10"/>
    <w:rsid w:val="05A01219"/>
    <w:rsid w:val="05C5040A"/>
    <w:rsid w:val="06345E06"/>
    <w:rsid w:val="06361B7E"/>
    <w:rsid w:val="06490512"/>
    <w:rsid w:val="06630409"/>
    <w:rsid w:val="06990E6E"/>
    <w:rsid w:val="06AD21EC"/>
    <w:rsid w:val="07140111"/>
    <w:rsid w:val="07177D99"/>
    <w:rsid w:val="07561A79"/>
    <w:rsid w:val="076157C5"/>
    <w:rsid w:val="07C36632"/>
    <w:rsid w:val="080919D2"/>
    <w:rsid w:val="081D1C66"/>
    <w:rsid w:val="08296328"/>
    <w:rsid w:val="08297779"/>
    <w:rsid w:val="08687FE8"/>
    <w:rsid w:val="089721D3"/>
    <w:rsid w:val="08B326B7"/>
    <w:rsid w:val="08C17D7A"/>
    <w:rsid w:val="08E130D3"/>
    <w:rsid w:val="08E179F2"/>
    <w:rsid w:val="08EC2F2C"/>
    <w:rsid w:val="0906641C"/>
    <w:rsid w:val="0959577E"/>
    <w:rsid w:val="096A20B6"/>
    <w:rsid w:val="09A81FC0"/>
    <w:rsid w:val="09F47D86"/>
    <w:rsid w:val="0A010EE6"/>
    <w:rsid w:val="0A0C33B8"/>
    <w:rsid w:val="0A246527"/>
    <w:rsid w:val="0A363B66"/>
    <w:rsid w:val="0AC560D2"/>
    <w:rsid w:val="0B3643CE"/>
    <w:rsid w:val="0B7309F8"/>
    <w:rsid w:val="0C1024E9"/>
    <w:rsid w:val="0C177D5B"/>
    <w:rsid w:val="0C441CBC"/>
    <w:rsid w:val="0C557D75"/>
    <w:rsid w:val="0C6372A3"/>
    <w:rsid w:val="0C8F3D96"/>
    <w:rsid w:val="0D2C7836"/>
    <w:rsid w:val="0DBD7E75"/>
    <w:rsid w:val="0DBF5778"/>
    <w:rsid w:val="0DC5500D"/>
    <w:rsid w:val="0DD5416E"/>
    <w:rsid w:val="0DE66D83"/>
    <w:rsid w:val="0DF144BD"/>
    <w:rsid w:val="0DF73327"/>
    <w:rsid w:val="0E0517C0"/>
    <w:rsid w:val="0E354531"/>
    <w:rsid w:val="0E364A4E"/>
    <w:rsid w:val="0E3B0F70"/>
    <w:rsid w:val="0E4A42A9"/>
    <w:rsid w:val="0E614AD3"/>
    <w:rsid w:val="0E7B516C"/>
    <w:rsid w:val="0E894308"/>
    <w:rsid w:val="0E9E6834"/>
    <w:rsid w:val="0EB41212"/>
    <w:rsid w:val="0EF409BB"/>
    <w:rsid w:val="0EFE651B"/>
    <w:rsid w:val="0F007CF6"/>
    <w:rsid w:val="0FA120D4"/>
    <w:rsid w:val="0FA3298F"/>
    <w:rsid w:val="0FFD51ED"/>
    <w:rsid w:val="0FFE7880"/>
    <w:rsid w:val="10560797"/>
    <w:rsid w:val="10620D30"/>
    <w:rsid w:val="107422F1"/>
    <w:rsid w:val="10A07DEF"/>
    <w:rsid w:val="10C258EC"/>
    <w:rsid w:val="10D95F27"/>
    <w:rsid w:val="11664F94"/>
    <w:rsid w:val="116E055D"/>
    <w:rsid w:val="11DB68A2"/>
    <w:rsid w:val="124E3234"/>
    <w:rsid w:val="125C4F2B"/>
    <w:rsid w:val="13295D69"/>
    <w:rsid w:val="13510B1A"/>
    <w:rsid w:val="13606261"/>
    <w:rsid w:val="13644981"/>
    <w:rsid w:val="13692BEA"/>
    <w:rsid w:val="139A3A38"/>
    <w:rsid w:val="14253E5E"/>
    <w:rsid w:val="14581659"/>
    <w:rsid w:val="14891D16"/>
    <w:rsid w:val="14C8253B"/>
    <w:rsid w:val="14F8706C"/>
    <w:rsid w:val="15240715"/>
    <w:rsid w:val="158800AE"/>
    <w:rsid w:val="159B0C17"/>
    <w:rsid w:val="15E67914"/>
    <w:rsid w:val="162A208D"/>
    <w:rsid w:val="16403F4B"/>
    <w:rsid w:val="165E6292"/>
    <w:rsid w:val="16662EA9"/>
    <w:rsid w:val="167266EB"/>
    <w:rsid w:val="16BC7A76"/>
    <w:rsid w:val="16C568E8"/>
    <w:rsid w:val="16CE5289"/>
    <w:rsid w:val="17054808"/>
    <w:rsid w:val="173D6B6A"/>
    <w:rsid w:val="17651DD1"/>
    <w:rsid w:val="17777B56"/>
    <w:rsid w:val="17C70888"/>
    <w:rsid w:val="17E97C60"/>
    <w:rsid w:val="18744112"/>
    <w:rsid w:val="188E5492"/>
    <w:rsid w:val="189815CA"/>
    <w:rsid w:val="18DB710D"/>
    <w:rsid w:val="18E86EF5"/>
    <w:rsid w:val="19AC776C"/>
    <w:rsid w:val="19F470C4"/>
    <w:rsid w:val="19FE0DCB"/>
    <w:rsid w:val="1A106845"/>
    <w:rsid w:val="1A3306DB"/>
    <w:rsid w:val="1ACC6A6A"/>
    <w:rsid w:val="1AE47FF0"/>
    <w:rsid w:val="1C661C8D"/>
    <w:rsid w:val="1C6B03A4"/>
    <w:rsid w:val="1CA9016E"/>
    <w:rsid w:val="1D1C43BA"/>
    <w:rsid w:val="1D3449C0"/>
    <w:rsid w:val="1D6309EC"/>
    <w:rsid w:val="1D892D2B"/>
    <w:rsid w:val="1DA916B0"/>
    <w:rsid w:val="1DB9336C"/>
    <w:rsid w:val="1DBF0A7F"/>
    <w:rsid w:val="1DF40DDB"/>
    <w:rsid w:val="1E080372"/>
    <w:rsid w:val="1E2A64FC"/>
    <w:rsid w:val="1E5B3377"/>
    <w:rsid w:val="1E766C5F"/>
    <w:rsid w:val="1EA84A76"/>
    <w:rsid w:val="1F0C3504"/>
    <w:rsid w:val="1F1D764C"/>
    <w:rsid w:val="1F34391F"/>
    <w:rsid w:val="1F3719AE"/>
    <w:rsid w:val="1F575200"/>
    <w:rsid w:val="1F6F32C2"/>
    <w:rsid w:val="1FAF5241"/>
    <w:rsid w:val="1FC6308B"/>
    <w:rsid w:val="200D7DDB"/>
    <w:rsid w:val="20262069"/>
    <w:rsid w:val="2059673D"/>
    <w:rsid w:val="209E3D18"/>
    <w:rsid w:val="20BC68D1"/>
    <w:rsid w:val="218407CF"/>
    <w:rsid w:val="21C1459A"/>
    <w:rsid w:val="21E15ABE"/>
    <w:rsid w:val="21E32FAC"/>
    <w:rsid w:val="222E3E55"/>
    <w:rsid w:val="223937C1"/>
    <w:rsid w:val="22C01174"/>
    <w:rsid w:val="2332642D"/>
    <w:rsid w:val="233E509E"/>
    <w:rsid w:val="23BE3AA9"/>
    <w:rsid w:val="244D7949"/>
    <w:rsid w:val="24501B65"/>
    <w:rsid w:val="24714479"/>
    <w:rsid w:val="248127A8"/>
    <w:rsid w:val="249053D7"/>
    <w:rsid w:val="249C0229"/>
    <w:rsid w:val="251A6C57"/>
    <w:rsid w:val="258238E3"/>
    <w:rsid w:val="258D5D11"/>
    <w:rsid w:val="261606F9"/>
    <w:rsid w:val="26646D63"/>
    <w:rsid w:val="267C3F38"/>
    <w:rsid w:val="268B6B10"/>
    <w:rsid w:val="26B6298C"/>
    <w:rsid w:val="272F78E9"/>
    <w:rsid w:val="273A54B1"/>
    <w:rsid w:val="276F17C3"/>
    <w:rsid w:val="278B4387"/>
    <w:rsid w:val="27A320DF"/>
    <w:rsid w:val="27FD5B5E"/>
    <w:rsid w:val="2803202C"/>
    <w:rsid w:val="28B96268"/>
    <w:rsid w:val="28BB5E50"/>
    <w:rsid w:val="29192F0D"/>
    <w:rsid w:val="29316CB6"/>
    <w:rsid w:val="2A571F3F"/>
    <w:rsid w:val="2A690CFE"/>
    <w:rsid w:val="2B290B1B"/>
    <w:rsid w:val="2B583B49"/>
    <w:rsid w:val="2B626718"/>
    <w:rsid w:val="2B6564B9"/>
    <w:rsid w:val="2B742E62"/>
    <w:rsid w:val="2B801612"/>
    <w:rsid w:val="2BB1398B"/>
    <w:rsid w:val="2BCC1197"/>
    <w:rsid w:val="2BE66275"/>
    <w:rsid w:val="2C372028"/>
    <w:rsid w:val="2C412F87"/>
    <w:rsid w:val="2CCC5D31"/>
    <w:rsid w:val="2CF34F60"/>
    <w:rsid w:val="2DB179C3"/>
    <w:rsid w:val="2E1A659B"/>
    <w:rsid w:val="2EB6368E"/>
    <w:rsid w:val="2F300C4F"/>
    <w:rsid w:val="2F3D0681"/>
    <w:rsid w:val="2F44526B"/>
    <w:rsid w:val="2F7A543F"/>
    <w:rsid w:val="2FC12411"/>
    <w:rsid w:val="2FF87A7C"/>
    <w:rsid w:val="300950A9"/>
    <w:rsid w:val="30135E40"/>
    <w:rsid w:val="303D5E28"/>
    <w:rsid w:val="305B477B"/>
    <w:rsid w:val="3069477A"/>
    <w:rsid w:val="30D77A21"/>
    <w:rsid w:val="311566B0"/>
    <w:rsid w:val="31292807"/>
    <w:rsid w:val="31C425C6"/>
    <w:rsid w:val="31C559E0"/>
    <w:rsid w:val="3224213E"/>
    <w:rsid w:val="324604F9"/>
    <w:rsid w:val="32672763"/>
    <w:rsid w:val="32850C2A"/>
    <w:rsid w:val="32C66126"/>
    <w:rsid w:val="32E36165"/>
    <w:rsid w:val="332D55E8"/>
    <w:rsid w:val="33647124"/>
    <w:rsid w:val="33704071"/>
    <w:rsid w:val="339E379E"/>
    <w:rsid w:val="33C00BEE"/>
    <w:rsid w:val="34052258"/>
    <w:rsid w:val="341E4BA1"/>
    <w:rsid w:val="342E6D96"/>
    <w:rsid w:val="34716A58"/>
    <w:rsid w:val="34740D50"/>
    <w:rsid w:val="34943D90"/>
    <w:rsid w:val="34C562F5"/>
    <w:rsid w:val="3507563C"/>
    <w:rsid w:val="355638EF"/>
    <w:rsid w:val="35E02C1A"/>
    <w:rsid w:val="3615229B"/>
    <w:rsid w:val="361A6D0F"/>
    <w:rsid w:val="361F7338"/>
    <w:rsid w:val="3624024C"/>
    <w:rsid w:val="3652572B"/>
    <w:rsid w:val="36807BB3"/>
    <w:rsid w:val="36830EAB"/>
    <w:rsid w:val="36CD7C20"/>
    <w:rsid w:val="36E9178F"/>
    <w:rsid w:val="37372634"/>
    <w:rsid w:val="373B7F42"/>
    <w:rsid w:val="37653111"/>
    <w:rsid w:val="38175C55"/>
    <w:rsid w:val="384D3F7B"/>
    <w:rsid w:val="3919073D"/>
    <w:rsid w:val="395A4C9C"/>
    <w:rsid w:val="399E49B2"/>
    <w:rsid w:val="39BB655A"/>
    <w:rsid w:val="39C032B9"/>
    <w:rsid w:val="39F55A74"/>
    <w:rsid w:val="39F70969"/>
    <w:rsid w:val="3A6301E3"/>
    <w:rsid w:val="3A7B253C"/>
    <w:rsid w:val="3A8147A4"/>
    <w:rsid w:val="3AC7100E"/>
    <w:rsid w:val="3ACF15CF"/>
    <w:rsid w:val="3AF51DFF"/>
    <w:rsid w:val="3B945BA8"/>
    <w:rsid w:val="3BE04296"/>
    <w:rsid w:val="3BF43151"/>
    <w:rsid w:val="3C074E47"/>
    <w:rsid w:val="3C282908"/>
    <w:rsid w:val="3C643EA8"/>
    <w:rsid w:val="3D4D1FEB"/>
    <w:rsid w:val="3D9573FF"/>
    <w:rsid w:val="3D9933E1"/>
    <w:rsid w:val="3DC56972"/>
    <w:rsid w:val="3DF065D2"/>
    <w:rsid w:val="3E2A1EBB"/>
    <w:rsid w:val="3E433BCF"/>
    <w:rsid w:val="3E5E0502"/>
    <w:rsid w:val="3E6F6E93"/>
    <w:rsid w:val="3E7762B4"/>
    <w:rsid w:val="3EB70DA6"/>
    <w:rsid w:val="3EEB6649"/>
    <w:rsid w:val="3F563958"/>
    <w:rsid w:val="3FB97CF0"/>
    <w:rsid w:val="400B3158"/>
    <w:rsid w:val="403B35EC"/>
    <w:rsid w:val="404E6F69"/>
    <w:rsid w:val="409451D6"/>
    <w:rsid w:val="40C36CD6"/>
    <w:rsid w:val="40EB6716"/>
    <w:rsid w:val="411918A4"/>
    <w:rsid w:val="412F13AB"/>
    <w:rsid w:val="41445B9A"/>
    <w:rsid w:val="41725F5D"/>
    <w:rsid w:val="418B07AC"/>
    <w:rsid w:val="419F0D52"/>
    <w:rsid w:val="41BA63DC"/>
    <w:rsid w:val="41BD0C44"/>
    <w:rsid w:val="41E26090"/>
    <w:rsid w:val="41E415CA"/>
    <w:rsid w:val="41FF4945"/>
    <w:rsid w:val="4216328E"/>
    <w:rsid w:val="425D7EB7"/>
    <w:rsid w:val="425F778B"/>
    <w:rsid w:val="426A3431"/>
    <w:rsid w:val="42821E03"/>
    <w:rsid w:val="42E31378"/>
    <w:rsid w:val="432335FB"/>
    <w:rsid w:val="43570A73"/>
    <w:rsid w:val="436E6B25"/>
    <w:rsid w:val="438E1635"/>
    <w:rsid w:val="441851E7"/>
    <w:rsid w:val="441F299F"/>
    <w:rsid w:val="4426752C"/>
    <w:rsid w:val="446D580A"/>
    <w:rsid w:val="4499095B"/>
    <w:rsid w:val="45255D02"/>
    <w:rsid w:val="452D0D45"/>
    <w:rsid w:val="46CE3171"/>
    <w:rsid w:val="473B795E"/>
    <w:rsid w:val="47632090"/>
    <w:rsid w:val="47972D42"/>
    <w:rsid w:val="47C9033D"/>
    <w:rsid w:val="47CE2ED7"/>
    <w:rsid w:val="48123071"/>
    <w:rsid w:val="4815405E"/>
    <w:rsid w:val="48385946"/>
    <w:rsid w:val="488C6465"/>
    <w:rsid w:val="489B714F"/>
    <w:rsid w:val="48E96C72"/>
    <w:rsid w:val="48FB56F7"/>
    <w:rsid w:val="49314FF7"/>
    <w:rsid w:val="49417BEA"/>
    <w:rsid w:val="49826870"/>
    <w:rsid w:val="4A4376F9"/>
    <w:rsid w:val="4A8E22EA"/>
    <w:rsid w:val="4AE62F44"/>
    <w:rsid w:val="4B033C70"/>
    <w:rsid w:val="4BC607A7"/>
    <w:rsid w:val="4C526C0C"/>
    <w:rsid w:val="4C7A69FA"/>
    <w:rsid w:val="4C8D6A2D"/>
    <w:rsid w:val="4D02644D"/>
    <w:rsid w:val="4DE60D60"/>
    <w:rsid w:val="4E174457"/>
    <w:rsid w:val="4E1F5200"/>
    <w:rsid w:val="4E3242E9"/>
    <w:rsid w:val="4E8B16F6"/>
    <w:rsid w:val="4E9B6301"/>
    <w:rsid w:val="4EBF6FDA"/>
    <w:rsid w:val="4EF45293"/>
    <w:rsid w:val="4F1D30E6"/>
    <w:rsid w:val="4F654D04"/>
    <w:rsid w:val="4F795BCA"/>
    <w:rsid w:val="4F7D127A"/>
    <w:rsid w:val="4F9C201E"/>
    <w:rsid w:val="4FA85AF4"/>
    <w:rsid w:val="4FD07F1A"/>
    <w:rsid w:val="4FF34AB5"/>
    <w:rsid w:val="502A193D"/>
    <w:rsid w:val="50524E2C"/>
    <w:rsid w:val="505D6F6E"/>
    <w:rsid w:val="508B2AE2"/>
    <w:rsid w:val="50D30CBE"/>
    <w:rsid w:val="512578D6"/>
    <w:rsid w:val="512B2D13"/>
    <w:rsid w:val="51850890"/>
    <w:rsid w:val="519C5BD9"/>
    <w:rsid w:val="51EC090F"/>
    <w:rsid w:val="51EE0948"/>
    <w:rsid w:val="52043EAB"/>
    <w:rsid w:val="524225F6"/>
    <w:rsid w:val="525A3ACB"/>
    <w:rsid w:val="52752B51"/>
    <w:rsid w:val="528F2BD2"/>
    <w:rsid w:val="533B4033"/>
    <w:rsid w:val="535617AB"/>
    <w:rsid w:val="53B2413F"/>
    <w:rsid w:val="53B43646"/>
    <w:rsid w:val="53C26810"/>
    <w:rsid w:val="53DE3514"/>
    <w:rsid w:val="53EF7B14"/>
    <w:rsid w:val="5405522F"/>
    <w:rsid w:val="545F5187"/>
    <w:rsid w:val="548F3B9F"/>
    <w:rsid w:val="54957305"/>
    <w:rsid w:val="5498710E"/>
    <w:rsid w:val="54A61D71"/>
    <w:rsid w:val="54C27106"/>
    <w:rsid w:val="54EE4FFD"/>
    <w:rsid w:val="55055184"/>
    <w:rsid w:val="557A0A22"/>
    <w:rsid w:val="558657C6"/>
    <w:rsid w:val="55870F03"/>
    <w:rsid w:val="558F48C0"/>
    <w:rsid w:val="55D6790C"/>
    <w:rsid w:val="55E927EF"/>
    <w:rsid w:val="55F15D3C"/>
    <w:rsid w:val="56415F7B"/>
    <w:rsid w:val="56555C57"/>
    <w:rsid w:val="56CB5A4E"/>
    <w:rsid w:val="56CE0691"/>
    <w:rsid w:val="56E36785"/>
    <w:rsid w:val="56E706E3"/>
    <w:rsid w:val="56F94D49"/>
    <w:rsid w:val="570E5209"/>
    <w:rsid w:val="57160C34"/>
    <w:rsid w:val="57510076"/>
    <w:rsid w:val="576523F7"/>
    <w:rsid w:val="5765363E"/>
    <w:rsid w:val="58A62685"/>
    <w:rsid w:val="58B05846"/>
    <w:rsid w:val="58BC1B16"/>
    <w:rsid w:val="59211614"/>
    <w:rsid w:val="5932754F"/>
    <w:rsid w:val="5939450C"/>
    <w:rsid w:val="593C3923"/>
    <w:rsid w:val="59556F4B"/>
    <w:rsid w:val="595A11FB"/>
    <w:rsid w:val="5985531A"/>
    <w:rsid w:val="598D75E5"/>
    <w:rsid w:val="59D9018E"/>
    <w:rsid w:val="59DB2654"/>
    <w:rsid w:val="5B747546"/>
    <w:rsid w:val="5BF353E0"/>
    <w:rsid w:val="5BF6785E"/>
    <w:rsid w:val="5C0C6651"/>
    <w:rsid w:val="5C65232A"/>
    <w:rsid w:val="5D2F5FF2"/>
    <w:rsid w:val="5D8B4293"/>
    <w:rsid w:val="5D9C33E1"/>
    <w:rsid w:val="5DE53332"/>
    <w:rsid w:val="5E321035"/>
    <w:rsid w:val="5E5204F3"/>
    <w:rsid w:val="5E594EAF"/>
    <w:rsid w:val="5EA71AB0"/>
    <w:rsid w:val="5F09138A"/>
    <w:rsid w:val="5F57386C"/>
    <w:rsid w:val="5FEE09EC"/>
    <w:rsid w:val="600B27A8"/>
    <w:rsid w:val="60523013"/>
    <w:rsid w:val="60780049"/>
    <w:rsid w:val="60AF1486"/>
    <w:rsid w:val="610A250C"/>
    <w:rsid w:val="612F7CBB"/>
    <w:rsid w:val="6150788C"/>
    <w:rsid w:val="617F3656"/>
    <w:rsid w:val="618B17C4"/>
    <w:rsid w:val="62282C06"/>
    <w:rsid w:val="62AB75A1"/>
    <w:rsid w:val="62B83782"/>
    <w:rsid w:val="62D87AA2"/>
    <w:rsid w:val="62F644C9"/>
    <w:rsid w:val="62FA285D"/>
    <w:rsid w:val="63235E94"/>
    <w:rsid w:val="632C291F"/>
    <w:rsid w:val="63442CD8"/>
    <w:rsid w:val="634564BC"/>
    <w:rsid w:val="63A24BA3"/>
    <w:rsid w:val="63FC21F0"/>
    <w:rsid w:val="64F115AE"/>
    <w:rsid w:val="651F307E"/>
    <w:rsid w:val="652C579B"/>
    <w:rsid w:val="655A5E64"/>
    <w:rsid w:val="658206AA"/>
    <w:rsid w:val="65A42FB2"/>
    <w:rsid w:val="65D65AEC"/>
    <w:rsid w:val="65F921C6"/>
    <w:rsid w:val="66296A76"/>
    <w:rsid w:val="6630299A"/>
    <w:rsid w:val="66335488"/>
    <w:rsid w:val="66442AA1"/>
    <w:rsid w:val="667C3BD6"/>
    <w:rsid w:val="66A500B4"/>
    <w:rsid w:val="67A65DBD"/>
    <w:rsid w:val="67B145E7"/>
    <w:rsid w:val="68183659"/>
    <w:rsid w:val="681B62A8"/>
    <w:rsid w:val="69127F88"/>
    <w:rsid w:val="696D4932"/>
    <w:rsid w:val="699E75DB"/>
    <w:rsid w:val="69EE30BD"/>
    <w:rsid w:val="6A31573E"/>
    <w:rsid w:val="6A8158A5"/>
    <w:rsid w:val="6AE938AD"/>
    <w:rsid w:val="6AF45453"/>
    <w:rsid w:val="6B573803"/>
    <w:rsid w:val="6B9A1F2E"/>
    <w:rsid w:val="6BAC6A09"/>
    <w:rsid w:val="6BC42B50"/>
    <w:rsid w:val="6BE057E9"/>
    <w:rsid w:val="6BE720D0"/>
    <w:rsid w:val="6C3F3C13"/>
    <w:rsid w:val="6C554E23"/>
    <w:rsid w:val="6C572E56"/>
    <w:rsid w:val="6CC55A69"/>
    <w:rsid w:val="6CDA69B9"/>
    <w:rsid w:val="6CEF184F"/>
    <w:rsid w:val="6D1227DD"/>
    <w:rsid w:val="6D454C9F"/>
    <w:rsid w:val="6D7A52B5"/>
    <w:rsid w:val="6DB96ECB"/>
    <w:rsid w:val="6DC40DBE"/>
    <w:rsid w:val="6DE74F22"/>
    <w:rsid w:val="6E3B0A38"/>
    <w:rsid w:val="6E654F2C"/>
    <w:rsid w:val="6E7E6053"/>
    <w:rsid w:val="6E85274D"/>
    <w:rsid w:val="6EA45B20"/>
    <w:rsid w:val="6EBB4D1E"/>
    <w:rsid w:val="6F0A08FB"/>
    <w:rsid w:val="6FA1644E"/>
    <w:rsid w:val="6FDF7B2E"/>
    <w:rsid w:val="6FF04BB8"/>
    <w:rsid w:val="70BA3C5B"/>
    <w:rsid w:val="71461640"/>
    <w:rsid w:val="71A21AC0"/>
    <w:rsid w:val="721C5DF4"/>
    <w:rsid w:val="72226823"/>
    <w:rsid w:val="724E52E9"/>
    <w:rsid w:val="72A3100B"/>
    <w:rsid w:val="72FF19ED"/>
    <w:rsid w:val="730944E9"/>
    <w:rsid w:val="73390A8F"/>
    <w:rsid w:val="73955795"/>
    <w:rsid w:val="73C81F75"/>
    <w:rsid w:val="741B4B6E"/>
    <w:rsid w:val="742570E6"/>
    <w:rsid w:val="749A4CDD"/>
    <w:rsid w:val="74A75DF0"/>
    <w:rsid w:val="75082C61"/>
    <w:rsid w:val="750E30D2"/>
    <w:rsid w:val="752B4225"/>
    <w:rsid w:val="75580F6E"/>
    <w:rsid w:val="756F42A4"/>
    <w:rsid w:val="75AB270C"/>
    <w:rsid w:val="75E705E9"/>
    <w:rsid w:val="75FA1D39"/>
    <w:rsid w:val="7632407E"/>
    <w:rsid w:val="768939C2"/>
    <w:rsid w:val="77273416"/>
    <w:rsid w:val="77576A4A"/>
    <w:rsid w:val="77685D60"/>
    <w:rsid w:val="776D1790"/>
    <w:rsid w:val="77A05CFA"/>
    <w:rsid w:val="77B07B65"/>
    <w:rsid w:val="786B1C4C"/>
    <w:rsid w:val="78737AA0"/>
    <w:rsid w:val="78B132E0"/>
    <w:rsid w:val="78C04537"/>
    <w:rsid w:val="78E86A1C"/>
    <w:rsid w:val="790C01BB"/>
    <w:rsid w:val="791B5C93"/>
    <w:rsid w:val="793A6CA9"/>
    <w:rsid w:val="798B205B"/>
    <w:rsid w:val="79D63FA2"/>
    <w:rsid w:val="79DC22F7"/>
    <w:rsid w:val="7A2475DA"/>
    <w:rsid w:val="7A4647B1"/>
    <w:rsid w:val="7AA03123"/>
    <w:rsid w:val="7ABC2B81"/>
    <w:rsid w:val="7B000E04"/>
    <w:rsid w:val="7B2231BE"/>
    <w:rsid w:val="7B2B4D4A"/>
    <w:rsid w:val="7B552823"/>
    <w:rsid w:val="7B933A26"/>
    <w:rsid w:val="7BB6256E"/>
    <w:rsid w:val="7C217772"/>
    <w:rsid w:val="7C38742C"/>
    <w:rsid w:val="7C9F1C24"/>
    <w:rsid w:val="7CA92BBF"/>
    <w:rsid w:val="7CE37CA8"/>
    <w:rsid w:val="7D336661"/>
    <w:rsid w:val="7D587CA1"/>
    <w:rsid w:val="7D7E7731"/>
    <w:rsid w:val="7D946A97"/>
    <w:rsid w:val="7DBA34EC"/>
    <w:rsid w:val="7DBB623B"/>
    <w:rsid w:val="7E332440"/>
    <w:rsid w:val="7E657F4C"/>
    <w:rsid w:val="7EE9045D"/>
    <w:rsid w:val="7EEE3B00"/>
    <w:rsid w:val="7EF0033C"/>
    <w:rsid w:val="7EF6672C"/>
    <w:rsid w:val="7EFB456A"/>
    <w:rsid w:val="7F167A53"/>
    <w:rsid w:val="7F307D58"/>
    <w:rsid w:val="7F385C3B"/>
    <w:rsid w:val="7F6C2C93"/>
    <w:rsid w:val="7F8F6857"/>
    <w:rsid w:val="7FCA3704"/>
    <w:rsid w:val="7FCE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2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5">
    <w:name w:val="heading 2"/>
    <w:basedOn w:val="1"/>
    <w:next w:val="1"/>
    <w:autoRedefine/>
    <w:qFormat/>
    <w:uiPriority w:val="9"/>
    <w:pPr>
      <w:numPr>
        <w:ilvl w:val="0"/>
        <w:numId w:val="2"/>
      </w:numPr>
      <w:adjustRightInd w:val="0"/>
      <w:spacing w:before="150" w:beforeLines="150"/>
      <w:outlineLvl w:val="1"/>
    </w:pPr>
    <w:rPr>
      <w:rFonts w:eastAsia="黑体"/>
      <w:b/>
      <w:sz w:val="28"/>
    </w:rPr>
  </w:style>
  <w:style w:type="paragraph" w:styleId="6">
    <w:name w:val="heading 3"/>
    <w:basedOn w:val="1"/>
    <w:next w:val="1"/>
    <w:link w:val="56"/>
    <w:autoRedefine/>
    <w:qFormat/>
    <w:uiPriority w:val="9"/>
    <w:pPr>
      <w:numPr>
        <w:ilvl w:val="1"/>
        <w:numId w:val="2"/>
      </w:numPr>
      <w:adjustRightInd w:val="0"/>
      <w:spacing w:before="100" w:beforeLines="100"/>
      <w:outlineLvl w:val="2"/>
    </w:pPr>
    <w:rPr>
      <w:rFonts w:eastAsia="黑体"/>
      <w:sz w:val="28"/>
    </w:rPr>
  </w:style>
  <w:style w:type="paragraph" w:styleId="7">
    <w:name w:val="heading 4"/>
    <w:basedOn w:val="1"/>
    <w:next w:val="1"/>
    <w:autoRedefine/>
    <w:unhideWhenUsed/>
    <w:qFormat/>
    <w:uiPriority w:val="0"/>
    <w:pPr>
      <w:keepNext/>
      <w:keepLines/>
      <w:numPr>
        <w:ilvl w:val="2"/>
        <w:numId w:val="2"/>
      </w:numPr>
      <w:spacing w:before="280" w:after="290" w:line="372" w:lineRule="auto"/>
      <w:jc w:val="left"/>
      <w:outlineLvl w:val="3"/>
    </w:pPr>
    <w:rPr>
      <w:rFonts w:ascii="Arial" w:hAnsi="Arial" w:eastAsia="黑体"/>
      <w:b/>
    </w:rPr>
  </w:style>
  <w:style w:type="paragraph" w:styleId="8">
    <w:name w:val="heading 5"/>
    <w:basedOn w:val="1"/>
    <w:next w:val="1"/>
    <w:autoRedefine/>
    <w:semiHidden/>
    <w:unhideWhenUsed/>
    <w:qFormat/>
    <w:uiPriority w:val="0"/>
    <w:pPr>
      <w:keepNext/>
      <w:keepLines/>
      <w:numPr>
        <w:ilvl w:val="4"/>
        <w:numId w:val="3"/>
      </w:numPr>
      <w:spacing w:before="280" w:beforeLines="0" w:beforeAutospacing="0" w:after="290" w:afterLines="0" w:afterAutospacing="0" w:line="372" w:lineRule="auto"/>
      <w:ind w:left="425" w:hanging="425"/>
      <w:outlineLvl w:val="4"/>
    </w:pPr>
    <w:rPr>
      <w:b/>
      <w:sz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pPr>
      <w:spacing w:after="120"/>
    </w:pPr>
  </w:style>
  <w:style w:type="paragraph" w:styleId="3">
    <w:name w:val="Title"/>
    <w:basedOn w:val="1"/>
    <w:next w:val="1"/>
    <w:autoRedefine/>
    <w:qFormat/>
    <w:uiPriority w:val="10"/>
    <w:pPr>
      <w:ind w:firstLine="0" w:firstLineChars="0"/>
      <w:contextualSpacing/>
      <w:jc w:val="center"/>
    </w:pPr>
    <w:rPr>
      <w:rFonts w:ascii="Cambria" w:hAnsi="Cambria" w:eastAsia="宋体"/>
      <w:b/>
      <w:spacing w:val="5"/>
      <w:sz w:val="32"/>
      <w:szCs w:val="52"/>
    </w:rPr>
  </w:style>
  <w:style w:type="paragraph" w:styleId="9">
    <w:name w:val="caption"/>
    <w:basedOn w:val="1"/>
    <w:next w:val="1"/>
    <w:autoRedefine/>
    <w:semiHidden/>
    <w:unhideWhenUsed/>
    <w:qFormat/>
    <w:uiPriority w:val="0"/>
    <w:rPr>
      <w:rFonts w:ascii="Arial" w:hAnsi="Arial" w:eastAsia="黑体"/>
      <w:sz w:val="20"/>
    </w:rPr>
  </w:style>
  <w:style w:type="paragraph" w:styleId="10">
    <w:name w:val="annotation text"/>
    <w:basedOn w:val="1"/>
    <w:autoRedefine/>
    <w:qFormat/>
    <w:uiPriority w:val="0"/>
    <w:pPr>
      <w:jc w:val="left"/>
    </w:pPr>
  </w:style>
  <w:style w:type="paragraph" w:styleId="11">
    <w:name w:val="toc 5"/>
    <w:basedOn w:val="1"/>
    <w:next w:val="1"/>
    <w:autoRedefine/>
    <w:qFormat/>
    <w:uiPriority w:val="0"/>
    <w:pPr>
      <w:ind w:left="1680" w:leftChars="800"/>
    </w:pPr>
  </w:style>
  <w:style w:type="paragraph" w:styleId="12">
    <w:name w:val="toc 3"/>
    <w:basedOn w:val="1"/>
    <w:next w:val="1"/>
    <w:autoRedefine/>
    <w:semiHidden/>
    <w:qFormat/>
    <w:uiPriority w:val="0"/>
    <w:pPr>
      <w:tabs>
        <w:tab w:val="right" w:leader="dot" w:pos="9241"/>
      </w:tabs>
      <w:ind w:firstLine="100" w:firstLineChars="100"/>
      <w:jc w:val="left"/>
    </w:pPr>
    <w:rPr>
      <w:rFonts w:ascii="宋体" w:hAnsi="宋体" w:eastAsia="宋体" w:cs="宋体"/>
      <w:szCs w:val="21"/>
    </w:rPr>
  </w:style>
  <w:style w:type="paragraph" w:styleId="13">
    <w:name w:val="Balloon Text"/>
    <w:basedOn w:val="1"/>
    <w:link w:val="54"/>
    <w:autoRedefine/>
    <w:qFormat/>
    <w:uiPriority w:val="0"/>
    <w:rPr>
      <w:sz w:val="18"/>
      <w:szCs w:val="18"/>
    </w:rPr>
  </w:style>
  <w:style w:type="paragraph" w:styleId="14">
    <w:name w:val="footer"/>
    <w:basedOn w:val="1"/>
    <w:qFormat/>
    <w:uiPriority w:val="0"/>
    <w:pPr>
      <w:snapToGrid w:val="0"/>
      <w:ind w:right="210" w:rightChars="100"/>
      <w:jc w:val="right"/>
    </w:pPr>
    <w:rPr>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0"/>
    <w:pPr>
      <w:tabs>
        <w:tab w:val="right" w:leader="dot" w:pos="9242"/>
      </w:tabs>
      <w:spacing w:line="300" w:lineRule="auto"/>
      <w:jc w:val="left"/>
    </w:pPr>
    <w:rPr>
      <w:rFonts w:ascii="宋体" w:hAnsi="宋体" w:eastAsia="宋体" w:cs="宋体"/>
      <w:szCs w:val="21"/>
    </w:rPr>
  </w:style>
  <w:style w:type="paragraph" w:styleId="17">
    <w:name w:val="toc 4"/>
    <w:basedOn w:val="1"/>
    <w:next w:val="1"/>
    <w:autoRedefine/>
    <w:qFormat/>
    <w:uiPriority w:val="0"/>
    <w:pPr>
      <w:ind w:left="1260" w:leftChars="600"/>
    </w:pPr>
  </w:style>
  <w:style w:type="paragraph" w:styleId="18">
    <w:name w:val="toc 2"/>
    <w:basedOn w:val="1"/>
    <w:next w:val="1"/>
    <w:autoRedefine/>
    <w:qFormat/>
    <w:uiPriority w:val="0"/>
    <w:pPr>
      <w:tabs>
        <w:tab w:val="right" w:leader="dot" w:pos="9242"/>
      </w:tabs>
      <w:spacing w:line="300" w:lineRule="auto"/>
    </w:pPr>
    <w:rPr>
      <w:rFonts w:ascii="宋体" w:hAnsi="宋体" w:eastAsia="宋体" w:cs="宋体"/>
      <w:szCs w:val="21"/>
    </w:rPr>
  </w:style>
  <w:style w:type="paragraph" w:styleId="19">
    <w:name w:val="Normal (Web)"/>
    <w:basedOn w:val="1"/>
    <w:autoRedefine/>
    <w:qFormat/>
    <w:uiPriority w:val="0"/>
    <w:pPr>
      <w:spacing w:before="100" w:beforeAutospacing="1" w:after="100" w:afterAutospacing="1"/>
      <w:jc w:val="left"/>
    </w:pPr>
    <w:rPr>
      <w:kern w:val="0"/>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22"/>
    <w:rPr>
      <w:bCs/>
    </w:rPr>
  </w:style>
  <w:style w:type="character" w:styleId="24">
    <w:name w:val="annotation reference"/>
    <w:basedOn w:val="22"/>
    <w:autoRedefine/>
    <w:qFormat/>
    <w:uiPriority w:val="0"/>
    <w:rPr>
      <w:sz w:val="21"/>
      <w:szCs w:val="21"/>
    </w:rPr>
  </w:style>
  <w:style w:type="paragraph" w:customStyle="1" w:styleId="25">
    <w:name w:val="章标题"/>
    <w:next w:val="26"/>
    <w:autoRedefine/>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2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一级条标题"/>
    <w:next w:val="26"/>
    <w:autoRedefine/>
    <w:qFormat/>
    <w:uiPriority w:val="0"/>
    <w:pPr>
      <w:numPr>
        <w:ilvl w:val="1"/>
        <w:numId w:val="4"/>
      </w:numPr>
      <w:spacing w:before="50" w:beforeLines="50" w:after="50" w:afterLines="50"/>
      <w:outlineLvl w:val="2"/>
    </w:pPr>
    <w:rPr>
      <w:rFonts w:ascii="黑体" w:hAnsi="黑体" w:eastAsia="黑体" w:cs="Times New Roman"/>
      <w:sz w:val="21"/>
      <w:szCs w:val="21"/>
      <w:lang w:val="en-US" w:eastAsia="zh-CN" w:bidi="ar-SA"/>
    </w:rPr>
  </w:style>
  <w:style w:type="paragraph" w:customStyle="1" w:styleId="28">
    <w:name w:val="二级条标题"/>
    <w:basedOn w:val="27"/>
    <w:next w:val="1"/>
    <w:link w:val="65"/>
    <w:autoRedefine/>
    <w:qFormat/>
    <w:uiPriority w:val="0"/>
    <w:pPr>
      <w:numPr>
        <w:ilvl w:val="2"/>
      </w:numPr>
      <w:spacing w:before="50" w:after="50"/>
      <w:outlineLvl w:val="3"/>
    </w:pPr>
  </w:style>
  <w:style w:type="paragraph" w:customStyle="1" w:styleId="29">
    <w:name w:val="三级条标题"/>
    <w:basedOn w:val="28"/>
    <w:next w:val="26"/>
    <w:autoRedefine/>
    <w:qFormat/>
    <w:uiPriority w:val="0"/>
    <w:pPr>
      <w:numPr>
        <w:ilvl w:val="3"/>
      </w:numPr>
      <w:outlineLvl w:val="4"/>
    </w:pPr>
  </w:style>
  <w:style w:type="paragraph" w:customStyle="1" w:styleId="30">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1">
    <w:name w:val="其他标准标志"/>
    <w:basedOn w:val="32"/>
    <w:autoRedefine/>
    <w:qFormat/>
    <w:uiPriority w:val="0"/>
    <w:pPr>
      <w:framePr w:w="6101" w:wrap="around" w:vAnchor="page" w:hAnchor="page" w:x="4673" w:y="942"/>
    </w:pPr>
    <w:rPr>
      <w:w w:val="130"/>
    </w:rPr>
  </w:style>
  <w:style w:type="paragraph" w:customStyle="1" w:styleId="3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4">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7">
    <w:name w:val="封面标准英文名称"/>
    <w:basedOn w:val="36"/>
    <w:autoRedefine/>
    <w:qFormat/>
    <w:uiPriority w:val="0"/>
    <w:pPr>
      <w:framePr w:wrap="around"/>
      <w:spacing w:before="370" w:line="400" w:lineRule="exact"/>
    </w:pPr>
    <w:rPr>
      <w:rFonts w:ascii="Times New Roman"/>
      <w:sz w:val="28"/>
      <w:szCs w:val="28"/>
    </w:rPr>
  </w:style>
  <w:style w:type="paragraph" w:customStyle="1" w:styleId="38">
    <w:name w:val="封面一致性程度标识"/>
    <w:basedOn w:val="37"/>
    <w:autoRedefine/>
    <w:qFormat/>
    <w:uiPriority w:val="0"/>
    <w:pPr>
      <w:framePr w:wrap="around"/>
      <w:spacing w:before="440"/>
    </w:pPr>
    <w:rPr>
      <w:rFonts w:ascii="宋体" w:eastAsia="宋体"/>
    </w:rPr>
  </w:style>
  <w:style w:type="paragraph" w:customStyle="1" w:styleId="39">
    <w:name w:val="封面标准文稿类别"/>
    <w:basedOn w:val="38"/>
    <w:autoRedefine/>
    <w:qFormat/>
    <w:uiPriority w:val="0"/>
    <w:pPr>
      <w:framePr w:wrap="around"/>
      <w:spacing w:after="160" w:line="240" w:lineRule="auto"/>
    </w:pPr>
    <w:rPr>
      <w:sz w:val="24"/>
    </w:rPr>
  </w:style>
  <w:style w:type="paragraph" w:customStyle="1" w:styleId="40">
    <w:name w:val="封面标准文稿编辑信息"/>
    <w:basedOn w:val="39"/>
    <w:autoRedefine/>
    <w:qFormat/>
    <w:uiPriority w:val="0"/>
    <w:pPr>
      <w:framePr w:wrap="around"/>
      <w:spacing w:before="180" w:line="180" w:lineRule="exact"/>
    </w:pPr>
    <w:rPr>
      <w:sz w:val="21"/>
    </w:rPr>
  </w:style>
  <w:style w:type="paragraph" w:customStyle="1" w:styleId="41">
    <w:name w:val="其他发布日期"/>
    <w:basedOn w:val="42"/>
    <w:autoRedefine/>
    <w:qFormat/>
    <w:uiPriority w:val="0"/>
    <w:pPr>
      <w:framePr w:wrap="around" w:vAnchor="page" w:hAnchor="text" w:x="1419"/>
    </w:pPr>
  </w:style>
  <w:style w:type="paragraph" w:customStyle="1" w:styleId="42">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43">
    <w:name w:val="其他实施日期"/>
    <w:basedOn w:val="44"/>
    <w:autoRedefine/>
    <w:qFormat/>
    <w:uiPriority w:val="0"/>
    <w:pPr>
      <w:framePr w:wrap="around"/>
    </w:pPr>
  </w:style>
  <w:style w:type="paragraph" w:customStyle="1" w:styleId="44">
    <w:name w:val="实施日期"/>
    <w:basedOn w:val="42"/>
    <w:autoRedefine/>
    <w:qFormat/>
    <w:uiPriority w:val="0"/>
    <w:pPr>
      <w:framePr w:wrap="around" w:vAnchor="page" w:hAnchor="text"/>
      <w:jc w:val="right"/>
    </w:pPr>
  </w:style>
  <w:style w:type="paragraph" w:customStyle="1" w:styleId="45">
    <w:name w:val="其他发布部门"/>
    <w:basedOn w:val="46"/>
    <w:autoRedefine/>
    <w:qFormat/>
    <w:uiPriority w:val="0"/>
    <w:pPr>
      <w:framePr w:wrap="around" w:y="15310"/>
      <w:spacing w:line="0" w:lineRule="atLeast"/>
    </w:pPr>
    <w:rPr>
      <w:rFonts w:ascii="黑体" w:eastAsia="黑体"/>
      <w:b w:val="0"/>
    </w:rPr>
  </w:style>
  <w:style w:type="paragraph" w:customStyle="1" w:styleId="46">
    <w:name w:val="发布部门"/>
    <w:next w:val="26"/>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7">
    <w:name w:val="前言、引言标题"/>
    <w:next w:val="26"/>
    <w:autoRedefine/>
    <w:qFormat/>
    <w:uiPriority w:val="0"/>
    <w:pPr>
      <w:keepNext w:val="0"/>
      <w:pageBreakBefore w:val="0"/>
      <w:widowControl w:val="0"/>
      <w:shd w:val="clear" w:color="FFFFFF" w:fill="FFFFFF"/>
      <w:spacing w:before="640" w:after="560"/>
      <w:jc w:val="center"/>
      <w:outlineLvl w:val="0"/>
    </w:pPr>
    <w:rPr>
      <w:rFonts w:ascii="黑体" w:hAnsi="黑体" w:eastAsia="黑体" w:cs="Times New Roman"/>
      <w:sz w:val="32"/>
      <w:lang w:val="en-US" w:eastAsia="zh-CN" w:bidi="ar-SA"/>
    </w:rPr>
  </w:style>
  <w:style w:type="paragraph" w:customStyle="1" w:styleId="48">
    <w:name w:val="参考文献"/>
    <w:basedOn w:val="1"/>
    <w:next w:val="26"/>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9">
    <w:name w:val="终结线"/>
    <w:basedOn w:val="1"/>
    <w:autoRedefine/>
    <w:qFormat/>
    <w:uiPriority w:val="0"/>
    <w:pPr>
      <w:framePr w:hSpace="181" w:vSpace="181" w:wrap="around" w:vAnchor="text" w:hAnchor="margin" w:xAlign="center" w:y="285"/>
    </w:pPr>
  </w:style>
  <w:style w:type="paragraph" w:customStyle="1" w:styleId="50">
    <w:name w:val="标准书眉_偶数页"/>
    <w:basedOn w:val="51"/>
    <w:next w:val="1"/>
    <w:autoRedefine/>
    <w:qFormat/>
    <w:uiPriority w:val="0"/>
    <w:pPr>
      <w:tabs>
        <w:tab w:val="center" w:pos="4154"/>
        <w:tab w:val="right" w:pos="8306"/>
      </w:tabs>
      <w:jc w:val="left"/>
    </w:pPr>
  </w:style>
  <w:style w:type="paragraph" w:customStyle="1" w:styleId="51">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53">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54">
    <w:name w:val="批注框文本 Char"/>
    <w:basedOn w:val="22"/>
    <w:link w:val="13"/>
    <w:autoRedefine/>
    <w:qFormat/>
    <w:uiPriority w:val="0"/>
    <w:rPr>
      <w:kern w:val="2"/>
      <w:sz w:val="18"/>
      <w:szCs w:val="18"/>
    </w:rPr>
  </w:style>
  <w:style w:type="paragraph" w:styleId="55">
    <w:name w:val="List Paragraph"/>
    <w:basedOn w:val="1"/>
    <w:autoRedefine/>
    <w:qFormat/>
    <w:uiPriority w:val="34"/>
    <w:pPr>
      <w:ind w:firstLine="420"/>
    </w:pPr>
  </w:style>
  <w:style w:type="character" w:customStyle="1" w:styleId="56">
    <w:name w:val="标题 3 Char"/>
    <w:link w:val="6"/>
    <w:autoRedefine/>
    <w:qFormat/>
    <w:uiPriority w:val="0"/>
    <w:rPr>
      <w:rFonts w:eastAsia="黑体"/>
      <w:sz w:val="28"/>
    </w:rPr>
  </w:style>
  <w:style w:type="paragraph" w:customStyle="1" w:styleId="57">
    <w:name w:val="注：（正文）"/>
    <w:basedOn w:val="58"/>
    <w:next w:val="26"/>
    <w:autoRedefine/>
    <w:qFormat/>
    <w:uiPriority w:val="0"/>
    <w:pPr>
      <w:tabs>
        <w:tab w:val="left" w:pos="0"/>
      </w:tabs>
    </w:pPr>
  </w:style>
  <w:style w:type="paragraph" w:customStyle="1" w:styleId="58">
    <w:name w:val="注："/>
    <w:next w:val="26"/>
    <w:autoRedefine/>
    <w:qFormat/>
    <w:uiPriority w:val="0"/>
    <w:pPr>
      <w:widowControl w:val="0"/>
      <w:numPr>
        <w:ilvl w:val="0"/>
        <w:numId w:val="5"/>
      </w:numPr>
      <w:autoSpaceDE w:val="0"/>
      <w:autoSpaceDN w:val="0"/>
      <w:ind w:left="726" w:hanging="363"/>
      <w:jc w:val="both"/>
    </w:pPr>
    <w:rPr>
      <w:rFonts w:ascii="宋体" w:hAnsi="宋体" w:eastAsia="宋体" w:cs="Times New Roman"/>
      <w:sz w:val="18"/>
      <w:szCs w:val="18"/>
      <w:lang w:val="en-US" w:eastAsia="zh-CN" w:bidi="ar-SA"/>
    </w:rPr>
  </w:style>
  <w:style w:type="paragraph" w:customStyle="1" w:styleId="59">
    <w:name w:val="注×：（正文）"/>
    <w:autoRedefine/>
    <w:qFormat/>
    <w:uiPriority w:val="0"/>
    <w:pPr>
      <w:numPr>
        <w:ilvl w:val="0"/>
        <w:numId w:val="6"/>
      </w:numPr>
      <w:jc w:val="both"/>
    </w:pPr>
    <w:rPr>
      <w:rFonts w:ascii="宋体" w:hAnsi="宋体" w:eastAsia="宋体" w:cs="Times New Roman"/>
      <w:sz w:val="18"/>
      <w:szCs w:val="18"/>
      <w:lang w:val="en-US" w:eastAsia="zh-CN" w:bidi="ar-SA"/>
    </w:rPr>
  </w:style>
  <w:style w:type="paragraph" w:customStyle="1" w:styleId="60">
    <w:name w:val="列项●（二级）"/>
    <w:autoRedefine/>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character" w:customStyle="1" w:styleId="61">
    <w:name w:val="high-light-bg4"/>
    <w:autoRedefine/>
    <w:qFormat/>
    <w:uiPriority w:val="0"/>
  </w:style>
  <w:style w:type="paragraph" w:customStyle="1" w:styleId="62">
    <w:name w:val="一级附录"/>
    <w:basedOn w:val="1"/>
    <w:autoRedefine/>
    <w:qFormat/>
    <w:uiPriority w:val="0"/>
    <w:pPr>
      <w:numPr>
        <w:ilvl w:val="0"/>
        <w:numId w:val="8"/>
      </w:numPr>
      <w:ind w:left="432" w:hanging="432"/>
      <w:jc w:val="center"/>
    </w:pPr>
    <w:rPr>
      <w:rFonts w:eastAsia="黑体" w:asciiTheme="minorAscii" w:hAnsiTheme="minorAscii"/>
      <w:color w:val="000000" w:themeColor="text1"/>
      <w14:textFill>
        <w14:solidFill>
          <w14:schemeClr w14:val="tx1"/>
        </w14:solidFill>
      </w14:textFill>
    </w:rPr>
  </w:style>
  <w:style w:type="paragraph" w:customStyle="1" w:styleId="63">
    <w:name w:val="二级附录"/>
    <w:basedOn w:val="1"/>
    <w:autoRedefine/>
    <w:qFormat/>
    <w:uiPriority w:val="0"/>
    <w:pPr>
      <w:numPr>
        <w:ilvl w:val="1"/>
        <w:numId w:val="8"/>
      </w:numPr>
    </w:pPr>
    <w:rPr>
      <w:rFonts w:eastAsia="黑体" w:asciiTheme="minorAscii" w:hAnsiTheme="minorAscii"/>
      <w:color w:val="000000" w:themeColor="text1"/>
      <w14:textFill>
        <w14:solidFill>
          <w14:schemeClr w14:val="tx1"/>
        </w14:solidFill>
      </w14:textFill>
    </w:rPr>
  </w:style>
  <w:style w:type="paragraph" w:customStyle="1" w:styleId="64">
    <w:name w:val="三级附录"/>
    <w:basedOn w:val="1"/>
    <w:next w:val="1"/>
    <w:autoRedefine/>
    <w:qFormat/>
    <w:uiPriority w:val="0"/>
    <w:pPr>
      <w:keepNext w:val="0"/>
      <w:keepLines w:val="0"/>
      <w:pageBreakBefore w:val="0"/>
      <w:widowControl w:val="0"/>
      <w:numPr>
        <w:ilvl w:val="2"/>
        <w:numId w:val="8"/>
      </w:numPr>
      <w:spacing w:beforeLines="0" w:afterLines="0" w:line="360" w:lineRule="auto"/>
      <w:ind w:left="720" w:hanging="720"/>
      <w:outlineLvl w:val="0"/>
    </w:pPr>
    <w:rPr>
      <w:rFonts w:eastAsia="黑体" w:asciiTheme="minorAscii" w:hAnsiTheme="minorAscii"/>
      <w:kern w:val="44"/>
      <w:szCs w:val="32"/>
    </w:rPr>
  </w:style>
  <w:style w:type="character" w:customStyle="1" w:styleId="65">
    <w:name w:val="二级条标题 Char"/>
    <w:link w:val="28"/>
    <w:autoRedefine/>
    <w:qFormat/>
    <w:uiPriority w:val="0"/>
    <w:rPr>
      <w:rFonts w:eastAsia="黑体"/>
    </w:rPr>
  </w:style>
  <w:style w:type="paragraph" w:customStyle="1" w:styleId="66">
    <w:name w:val="四级附录"/>
    <w:basedOn w:val="1"/>
    <w:autoRedefine/>
    <w:qFormat/>
    <w:uiPriority w:val="0"/>
    <w:pPr>
      <w:keepNext/>
      <w:keepLines/>
      <w:numPr>
        <w:ilvl w:val="3"/>
        <w:numId w:val="8"/>
      </w:numPr>
      <w:tabs>
        <w:tab w:val="left" w:pos="420"/>
        <w:tab w:val="clear" w:pos="0"/>
      </w:tabs>
      <w:spacing w:beforeLines="0" w:afterLines="0" w:line="360" w:lineRule="auto"/>
      <w:ind w:left="864" w:hanging="864"/>
      <w:outlineLvl w:val="0"/>
    </w:pPr>
    <w:rPr>
      <w:rFonts w:eastAsia="黑体" w:asciiTheme="minorAscii" w:hAnsiTheme="minorAscii"/>
      <w:kern w:val="44"/>
      <w:szCs w:val="32"/>
    </w:rPr>
  </w:style>
  <w:style w:type="paragraph" w:customStyle="1" w:styleId="67">
    <w:name w:val="五级附录"/>
    <w:basedOn w:val="1"/>
    <w:autoRedefine/>
    <w:qFormat/>
    <w:uiPriority w:val="0"/>
    <w:pPr>
      <w:numPr>
        <w:ilvl w:val="4"/>
        <w:numId w:val="8"/>
      </w:numPr>
      <w:tabs>
        <w:tab w:val="left" w:pos="0"/>
      </w:tabs>
      <w:spacing w:before="50" w:beforeLines="50" w:after="50" w:afterLines="50" w:line="360" w:lineRule="auto"/>
      <w:ind w:left="1008" w:hanging="1008"/>
      <w:outlineLvl w:val="4"/>
    </w:pPr>
    <w:rPr>
      <w:rFonts w:hint="eastAsia" w:ascii="黑体" w:hAnsi="黑体" w:eastAsia="黑体"/>
      <w:szCs w:val="21"/>
    </w:rPr>
  </w:style>
  <w:style w:type="paragraph" w:customStyle="1" w:styleId="68">
    <w:name w:val="表标题"/>
    <w:basedOn w:val="1"/>
    <w:autoRedefine/>
    <w:qFormat/>
    <w:uiPriority w:val="99"/>
    <w:pPr>
      <w:numPr>
        <w:ilvl w:val="0"/>
        <w:numId w:val="9"/>
      </w:numPr>
      <w:tabs>
        <w:tab w:val="left" w:pos="420"/>
        <w:tab w:val="clear" w:pos="0"/>
      </w:tabs>
      <w:spacing w:line="400" w:lineRule="exact"/>
      <w:ind w:firstLine="0" w:firstLineChars="0"/>
      <w:jc w:val="center"/>
    </w:pPr>
    <w:rPr>
      <w:rFonts w:ascii="Times New Roman" w:hAnsi="Times New Roman" w:eastAsia="黑体"/>
    </w:rPr>
  </w:style>
  <w:style w:type="paragraph" w:customStyle="1" w:styleId="69">
    <w:name w:val="表格文字"/>
    <w:basedOn w:val="1"/>
    <w:autoRedefine/>
    <w:qFormat/>
    <w:uiPriority w:val="0"/>
    <w:pPr>
      <w:spacing w:line="360" w:lineRule="auto"/>
    </w:pPr>
    <w:rPr>
      <w:rFonts w:hint="eastAsia" w:ascii="Times New Roman" w:hAnsi="Times New Roman"/>
      <w:sz w:val="18"/>
    </w:rPr>
  </w:style>
  <w:style w:type="paragraph" w:customStyle="1" w:styleId="70">
    <w:name w:val="图标题"/>
    <w:basedOn w:val="1"/>
    <w:autoRedefine/>
    <w:qFormat/>
    <w:uiPriority w:val="0"/>
    <w:pPr>
      <w:numPr>
        <w:ilvl w:val="0"/>
        <w:numId w:val="10"/>
      </w:numPr>
      <w:spacing w:after="120"/>
      <w:ind w:firstLine="480"/>
      <w:jc w:val="center"/>
    </w:pPr>
    <w:rPr>
      <w:rFonts w:hint="eastAsia" w:ascii="宋体" w:hAnsi="宋体" w:eastAsia="黑体" w:cs="宋体"/>
      <w:color w:val="auto"/>
    </w:rPr>
  </w:style>
  <w:style w:type="paragraph" w:customStyle="1" w:styleId="71">
    <w:name w:val="样式1"/>
    <w:basedOn w:val="1"/>
    <w:autoRedefine/>
    <w:qFormat/>
    <w:uiPriority w:val="0"/>
    <w:pPr>
      <w:numPr>
        <w:ilvl w:val="0"/>
        <w:numId w:val="11"/>
      </w:numPr>
      <w:spacing w:before="50" w:beforeLines="50" w:after="50" w:afterLines="50"/>
      <w:outlineLvl w:val="9"/>
    </w:pPr>
    <w:rPr>
      <w:rFonts w:hint="eastAsia" w:ascii="黑体" w:hAnsi="黑体" w:eastAsia="黑体"/>
      <w:color w:val="auto"/>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28</Pages>
  <Words>17414</Words>
  <Characters>17795</Characters>
  <Lines>109</Lines>
  <Paragraphs>30</Paragraphs>
  <TotalTime>11</TotalTime>
  <ScaleCrop>false</ScaleCrop>
  <LinksUpToDate>false</LinksUpToDate>
  <CharactersWithSpaces>17901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2021-11-12T06:22:00Z</dcterms:created>
  <dc:creator>XPS15</dc:creator>
  <cp:lastModifiedBy>郭晓莎</cp:lastModifiedBy>
  <dcterms:modified xsi:type="dcterms:W3CDTF">2024-08-30T02:52:57Z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83B285D1C4E54B66AF2BF015D6933DB0_13</vt:lpwstr>
  </property>
</Properties>
</file>