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default" w:hAnsi="黑体" w:eastAsia="黑体" w:cs="黑体"/>
          <w:lang w:val="en-US" w:eastAsia="zh-CN"/>
        </w:rPr>
      </w:pPr>
      <w:r>
        <w:rPr>
          <w:rFonts w:hint="eastAsia" w:hAnsi="黑体" w:cs="黑体"/>
        </w:rPr>
        <w:t xml:space="preserve">ICS </w:t>
      </w:r>
      <w:r>
        <w:rPr>
          <w:rFonts w:hint="eastAsia" w:hAnsi="黑体" w:cs="黑体"/>
          <w:lang w:val="en-US" w:eastAsia="zh-CN"/>
        </w:rPr>
        <w:t>35.03</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9854" w:type="dxa"/>
            <w:tcBorders>
              <w:top w:val="nil"/>
              <w:left w:val="nil"/>
              <w:bottom w:val="nil"/>
              <w:right w:val="nil"/>
            </w:tcBorders>
            <w:noWrap w:val="0"/>
            <w:vAlign w:val="top"/>
          </w:tcPr>
          <w:p>
            <w:pPr>
              <w:pStyle w:val="17"/>
              <w:rPr>
                <w:rFonts w:hint="default" w:eastAsia="黑体"/>
                <w:lang w:val="en-US" w:eastAsia="zh-CN"/>
              </w:rPr>
            </w:pPr>
            <w:r>
              <w:rPr>
                <w:rFonts w:hint="eastAsia"/>
              </w:rPr>
              <w:t xml:space="preserve">CCS </w:t>
            </w:r>
            <w:r>
              <w:rPr>
                <w:rFonts w:hint="default"/>
                <w:lang w:val="en-US"/>
              </w:rPr>
              <mc:AlternateContent>
                <mc:Choice Requires="wps">
                  <w:drawing>
                    <wp:anchor distT="0" distB="0" distL="114300" distR="114300" simplePos="0" relativeHeight="251666432"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5"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矩形 4" o:spid="_x0000_s1026" o:spt="1" style="position:absolute;left:0pt;margin-left:18.75pt;margin-top:24pt;height:15.6pt;width:68.25pt;z-index:-251650048;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PhJ7XAAAACAEAAA8AAAAAAAAAAQAgAAAAIgAAAGRycy9kb3ducmV2LnhtbFBLAQIUABQA&#10;AAAIAIdO4kCpElzeuAEAAGoDAAAOAAAAAAAAAAEAIAAAACYBAABkcnMvZTJvRG9jLnhtbFBLBQYA&#10;AAAABgAGAFkBAABQ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18.75pt;margin-top:24pt;height:15.6pt;width:68.25pt;z-index:-251651072;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I+EntcAAAAI&#10;AQAADwAAAAAAAAABACAAAAAiAAAAZHJzL2Rvd25yZXYueG1sUEsBAhQAFAAAAAgAh07iQIuQuVur&#10;AQAAZQMAAA4AAAAAAAAAAQAgAAAAJgEAAGRycy9lMm9Eb2MueG1sUEsFBgAAAAAGAAYAWQEAAEMF&#10;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6.75pt;margin-top:12pt;height:15.6pt;width:68.25pt;z-index:-25165312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CiHXbgtwEAAGkDAAAOAAAAAAAAAAEAIAAAACQBAABkcnMvZTJvRG9jLnhtbFBLBQYAAAAA&#10;BgAGAFkBAABN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r>
              <w:rPr>
                <w:rFonts w:hint="eastAsia"/>
                <w:lang w:val="en-US" w:eastAsia="zh-CN"/>
              </w:rPr>
              <w:t>L80</w:t>
            </w:r>
          </w:p>
        </w:tc>
      </w:tr>
    </w:tbl>
    <w:p>
      <w:pPr>
        <w:pStyle w:val="15"/>
        <w:framePr w:wrap="around" w:x="4178" w:y="1521"/>
        <w:jc w:val="center"/>
        <w:rPr>
          <w:rFonts w:hint="default" w:eastAsia="宋体"/>
          <w:lang w:val="en-US" w:eastAsia="zh-CN"/>
        </w:rPr>
      </w:pPr>
      <w:r>
        <w:rPr>
          <w:rFonts w:hint="eastAsia"/>
          <w:lang w:val="en-US" w:eastAsia="zh-CN"/>
        </w:rPr>
        <w:t xml:space="preserve">     </w:t>
      </w:r>
      <w:r>
        <w:t>DB</w:t>
      </w:r>
      <w:r>
        <w:rPr>
          <w:rFonts w:hint="eastAsia"/>
          <w:lang w:val="en-US" w:eastAsia="zh-CN"/>
        </w:rPr>
        <w:t>21</w:t>
      </w:r>
    </w:p>
    <w:p>
      <w:pPr>
        <w:pStyle w:val="14"/>
        <w:framePr w:wrap="around" w:x="1884" w:y="2767"/>
      </w:pPr>
      <w:r>
        <w:rPr>
          <w:rFonts w:hint="eastAsia"/>
        </w:rPr>
        <w:t>辽宁省地方标准</w:t>
      </w:r>
    </w:p>
    <w:p>
      <w:pPr>
        <w:pStyle w:val="18"/>
        <w:framePr w:wrap="around" w:y="3521"/>
        <w:rPr>
          <w:rFonts w:hint="eastAsia" w:hAnsi="黑体" w:cs="黑体"/>
        </w:rPr>
      </w:pPr>
      <w:r>
        <w:rPr>
          <w:rFonts w:hint="eastAsia" w:hAnsi="黑体" w:cs="黑体"/>
        </w:rPr>
        <w:t>DB</w:t>
      </w:r>
      <w:r>
        <w:rPr>
          <w:rFonts w:hint="eastAsia" w:hAnsi="黑体" w:cs="黑体"/>
          <w:lang w:val="en-US" w:eastAsia="zh-CN"/>
        </w:rPr>
        <w:t>21</w:t>
      </w:r>
      <w:r>
        <w:rPr>
          <w:rFonts w:hint="eastAsia" w:hAnsi="黑体" w:cs="黑体"/>
        </w:rPr>
        <w:t>/T XXXX—XXXX</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9"/>
              <w:framePr w:wrap="around" w:y="3521"/>
            </w:pPr>
          </w:p>
        </w:tc>
      </w:tr>
    </w:tbl>
    <w:p>
      <w:pPr>
        <w:pStyle w:val="18"/>
        <w:framePr w:wrap="around" w:y="3521"/>
      </w:pPr>
    </w:p>
    <w:p>
      <w:pPr>
        <w:pStyle w:val="18"/>
        <w:framePr w:wrap="around" w:y="3521"/>
      </w:pPr>
    </w:p>
    <w:p>
      <w:pPr>
        <w:pStyle w:val="20"/>
        <w:framePr w:h="6808" w:hRule="exact" w:wrap="around" w:x="1390" w:y="6819"/>
        <w:rPr>
          <w:rFonts w:hint="default" w:eastAsia="黑体"/>
          <w:szCs w:val="22"/>
          <w:lang w:val="en-US" w:eastAsia="zh-CN"/>
        </w:rPr>
      </w:pPr>
      <w:r>
        <w:rPr>
          <w:rFonts w:hint="eastAsia"/>
          <w:szCs w:val="22"/>
          <w:lang w:val="en-US" w:eastAsia="zh-CN"/>
        </w:rPr>
        <w:t>工业数据流通  数据合规性检查规范</w:t>
      </w:r>
    </w:p>
    <w:p>
      <w:pPr>
        <w:pStyle w:val="21"/>
        <w:framePr w:h="6808" w:hRule="exact" w:wrap="around" w:x="1390" w:y="6819"/>
        <w:rPr>
          <w:rFonts w:hint="eastAsia" w:ascii="黑体" w:hAnsi="黑体" w:eastAsia="黑体" w:cs="黑体"/>
          <w:sz w:val="28"/>
          <w:szCs w:val="28"/>
        </w:rPr>
      </w:pPr>
    </w:p>
    <w:p>
      <w:pPr>
        <w:pStyle w:val="22"/>
        <w:framePr w:h="6808" w:hRule="exact" w:wrap="around" w:x="1390" w:y="6819"/>
      </w:pPr>
      <w:r>
        <w:rPr>
          <w:rFonts w:hint="eastAsia"/>
        </w:rPr>
        <w:t>（</w:t>
      </w:r>
      <w:r>
        <w:rPr>
          <w:rFonts w:hint="eastAsia"/>
          <w:lang w:val="en-US" w:eastAsia="zh-CN"/>
        </w:rPr>
        <w:t>征求意见</w:t>
      </w:r>
      <w:r>
        <w:rPr>
          <w:rFonts w:hint="eastAsia"/>
        </w:rPr>
        <w:t>稿）</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3"/>
              <w:framePr w:h="6808" w:hRule="exact" w:wrap="around" w:x="1390" w:y="6819"/>
            </w:pPr>
            <w:r>
              <w:rPr>
                <w:rFonts w:hint="eastAsia"/>
                <w:sz w:val="28"/>
                <w:lang w:val="en-US" w:eastAsia="zh-CN"/>
              </w:rPr>
              <w:t>在提交反馈意见时，请将您知道的相关专利连同支持性文件一并附上。</w:t>
            </w: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3" name="矩形 3"/>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9f34NcAAAALAQAADwAAAAAAAAABACAAAAAiAAAAZHJzL2Rvd25yZXYueG1sUEsBAhQAFAAAAAgA&#10;h07iQOaS93C0AQAAagMAAA4AAAAAAAAAAQAgAAAAJgEAAGRycy9lMm9Eb2MueG1sUEsFBgAAAAAG&#10;AAYAWQEAAEwFA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4"/>
              <w:framePr w:h="6808" w:hRule="exact" w:wrap="around" w:x="1390" w:y="6819"/>
            </w:pPr>
          </w:p>
        </w:tc>
      </w:tr>
    </w:tbl>
    <w:p>
      <w:pPr>
        <w:pStyle w:val="25"/>
        <w:framePr w:vAnchor="page" w:hAnchor="page" w:x="1549" w:y="14053"/>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3810</wp:posOffset>
                </wp:positionH>
                <wp:positionV relativeFrom="page">
                  <wp:posOffset>-3421380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269.4pt;height:0pt;width:481.9pt;mso-position-vertical-relative:page;z-index:25166438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IGKRPLzAQAA5A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nZ8CvOHFhq+N2n&#10;7z8/fvn14zOtd9++sqss0hCwptgbt47HHYZ1zIz3bbT5T1zYvgh7OAmr9okJOrycEbv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zUnh1gAAAAoBAAAPAAAAAAAAAAEAIAAAACIAAABkcnMvZG93bnJldi54bWxQSwECFAAU&#10;AAAACACHTuJAgYpE8vMBAADkAwAADgAAAAAAAAABACAAAAAlAQAAZHJzL2Uyb0RvYy54bWxQSwUG&#10;AAAAAAYABgBZAQAAigUAAAAA&#10;">
                <v:fill on="f" focussize="0,0"/>
                <v:stroke color="#000000" joinstyle="round"/>
                <v:imagedata o:title=""/>
                <o:lock v:ext="edit" aspectratio="f"/>
                <w10:anchorlock/>
              </v:line>
            </w:pict>
          </mc:Fallback>
        </mc:AlternateContent>
      </w:r>
    </w:p>
    <w:p>
      <w:pPr>
        <w:pStyle w:val="27"/>
        <w:framePr w:vAnchor="page" w:hAnchor="page" w:x="7006" w:y="1398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29"/>
        <w:framePr w:wrap="around" w:y="15212"/>
        <w:tabs>
          <w:tab w:val="center" w:pos="4049"/>
          <w:tab w:val="right" w:pos="7938"/>
        </w:tabs>
        <w:jc w:val="left"/>
        <w:rPr>
          <w:rFonts w:hint="eastAsia" w:hAnsi="黑体" w:eastAsia="黑体" w:cs="黑体"/>
          <w:lang w:eastAsia="zh-CN"/>
        </w:rPr>
      </w:pPr>
      <w:bookmarkStart w:id="0" w:name="fm"/>
      <w:r>
        <w:rPr>
          <w:rFonts w:hint="eastAsia"/>
          <w:lang w:eastAsia="zh-CN"/>
        </w:rPr>
        <w:tab/>
      </w:r>
      <w:r>
        <w:rPr>
          <w:rFonts w:hint="eastAsia" w:hAnsi="黑体" w:cs="黑体"/>
          <w:color w:val="auto"/>
          <w:w w:val="100"/>
          <w:highlight w:val="none"/>
        </w:rPr>
        <w:t>辽宁省</w:t>
      </w:r>
      <w:r>
        <w:rPr>
          <w:rFonts w:hint="eastAsia" w:hAnsi="黑体" w:cs="黑体"/>
          <w:color w:val="auto"/>
          <w:w w:val="100"/>
          <w:szCs w:val="22"/>
          <w:highlight w:val="none"/>
        </w:rPr>
        <w:t>市场监督管理局　</w:t>
      </w:r>
      <w:r>
        <w:rPr>
          <w:rFonts w:hint="eastAsia" w:hAnsi="黑体" w:cs="黑体"/>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uugEiLQBAABqAwAADgAAAAAAAAABACAAAAAoAQAAZHJzL2Uyb0RvYy54bWxQSwUGAAAA&#10;AAYABgBZAQAATgUAAAAA&#10;">
                <v:fill on="t" focussize="0,0"/>
                <v:stroke on="f"/>
                <v:imagedata o:title=""/>
                <o:lock v:ext="edit" aspectratio="f"/>
                <v:textbox>
                  <w:txbxContent>
                    <w:p/>
                  </w:txbxContent>
                </v:textbox>
              </v:rect>
            </w:pict>
          </mc:Fallback>
        </mc:AlternateContent>
      </w:r>
      <w:r>
        <w:rPr>
          <w:rFonts w:hint="eastAsia" w:hAnsi="黑体" w:cs="黑体"/>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yYoR2gAAAA8BAAAPAAAAAAAAAAEAIAAAACIAAABkcnMvZG93bnJldi54bWxQSwECFAAUAAAA&#10;CACHTuJA/tqC/rMBAABqAwAADgAAAAAAAAABACAAAAApAQAAZHJzL2Uyb0RvYy54bWxQSwUGAAAA&#10;AAYABgBZAQAATgUAAAAA&#10;">
                <v:fill on="t" focussize="0,0"/>
                <v:stroke on="f"/>
                <v:imagedata o:title=""/>
                <o:lock v:ext="edit" aspectratio="f"/>
                <v:textbox>
                  <w:txbxContent>
                    <w:p/>
                  </w:txbxContent>
                </v:textbox>
              </v:rect>
            </w:pict>
          </mc:Fallback>
        </mc:AlternateContent>
      </w:r>
      <w:bookmarkEnd w:id="0"/>
      <w:r>
        <w:rPr>
          <w:rFonts w:hint="eastAsia" w:hAnsi="黑体" w:cs="黑体"/>
          <w:w w:val="100"/>
          <w:szCs w:val="22"/>
        </w:rPr>
        <w:t>发布</w:t>
      </w:r>
      <w:r>
        <w:rPr>
          <w:rFonts w:hint="eastAsia" w:hAnsi="黑体" w:cs="黑体"/>
          <w:w w:val="100"/>
          <w:szCs w:val="22"/>
          <w:lang w:eastAsia="zh-CN"/>
        </w:rPr>
        <w:tab/>
      </w:r>
    </w:p>
    <w:p>
      <w:p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rPr>
        <mc:AlternateContent>
          <mc:Choice Requires="wps">
            <w:drawing>
              <wp:anchor distT="0" distB="0" distL="114300" distR="114300" simplePos="0" relativeHeight="251667456" behindDoc="0" locked="0" layoutInCell="1" allowOverlap="1">
                <wp:simplePos x="0" y="0"/>
                <wp:positionH relativeFrom="column">
                  <wp:posOffset>-230505</wp:posOffset>
                </wp:positionH>
                <wp:positionV relativeFrom="paragraph">
                  <wp:posOffset>2195195</wp:posOffset>
                </wp:positionV>
                <wp:extent cx="6062345" cy="6350"/>
                <wp:effectExtent l="0" t="4445" r="3175" b="12065"/>
                <wp:wrapNone/>
                <wp:docPr id="4" name="直接连接符 4"/>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5pt;margin-top:172.85pt;height:0.5pt;width:477.35pt;z-index:251667456;mso-width-relative:page;mso-height-relative:page;" filled="f" stroked="t" coordsize="21600,21600" o:gfxdata="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ldzzaAAAACwEAAA8AAAAAAAAAAQAgAAAAIgAAAGRycy9k&#10;b3ducmV2LnhtbFBLAQIUABQAAAAIAIdO4kCQzp+6AAIAAPEDAAAOAAAAAAAAAAEAIAAAACkBAABk&#10;cnMvZTJvRG9jLnhtbFBLBQYAAAAABgAGAFkBAACbBQ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8480" behindDoc="0" locked="0" layoutInCell="1" allowOverlap="1">
                <wp:simplePos x="0" y="0"/>
                <wp:positionH relativeFrom="column">
                  <wp:posOffset>-215900</wp:posOffset>
                </wp:positionH>
                <wp:positionV relativeFrom="paragraph">
                  <wp:posOffset>8329930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655.9pt;height:0pt;width:481.9pt;z-index:251668480;mso-width-relative:page;mso-height-relative:page;" filled="f" stroked="t" coordsize="21600,21600" o:gfxdata="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RgBvXAAAADQEAAA8AAAAAAAAAAQAgAAAAIgAAAGRycy9kb3ducmV2LnhtbFBLAQIU&#10;ABQAAAAIAIdO4kCOdGVB9AEAAOQDAAAOAAAAAAAAAAEAIAAAACYBAABkcnMvZTJvRG9jLnhtbFBL&#10;BQYAAAAABgAGAFkBAACMBQAAAAA=&#10;">
                <v:fill on="f" focussize="0,0"/>
                <v:stroke color="#000000" joinstyle="round"/>
                <v:imagedata o:title=""/>
                <o:lock v:ext="edit" aspectratio="f"/>
              </v:line>
            </w:pict>
          </mc:Fallback>
        </mc:AlternateContent>
      </w:r>
    </w:p>
    <w:sdt>
      <w:sdtPr>
        <w:rPr>
          <w:rFonts w:ascii="宋体" w:hAnsi="宋体" w:eastAsia="宋体" w:cs="Times New Roman"/>
          <w:kern w:val="2"/>
          <w:sz w:val="21"/>
          <w:szCs w:val="24"/>
          <w:lang w:val="en-US" w:eastAsia="zh-CN" w:bidi="ar-SA"/>
        </w:rPr>
        <w:id w:val="14746665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color w:val="auto"/>
              <w:sz w:val="32"/>
              <w:szCs w:val="32"/>
              <w:highlight w:val="none"/>
            </w:rPr>
            <w:t>目　次</w:t>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_Toc14741 </w:instrText>
          </w:r>
          <w:r>
            <w:rPr>
              <w:rFonts w:hint="eastAsia" w:ascii="宋体" w:hAnsi="宋体" w:eastAsia="宋体" w:cs="宋体"/>
              <w:highlight w:val="none"/>
            </w:rPr>
            <w:fldChar w:fldCharType="separate"/>
          </w:r>
          <w:r>
            <w:rPr>
              <w:rFonts w:hint="eastAsia" w:ascii="宋体" w:hAnsi="宋体" w:eastAsia="宋体" w:cs="宋体"/>
              <w:highlight w:val="none"/>
            </w:rPr>
            <w:t>前言</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_Toc14741 \h </w:instrText>
          </w:r>
          <w:r>
            <w:rPr>
              <w:rFonts w:hint="eastAsia" w:ascii="宋体" w:hAnsi="宋体" w:eastAsia="宋体" w:cs="宋体"/>
              <w:highlight w:val="none"/>
            </w:rPr>
            <w:fldChar w:fldCharType="separate"/>
          </w:r>
          <w:r>
            <w:rPr>
              <w:rFonts w:hint="eastAsia" w:ascii="宋体" w:hAnsi="宋体" w:eastAsia="宋体" w:cs="宋体"/>
              <w:highlight w:val="none"/>
            </w:rPr>
            <w:t>II</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_Toc7309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1 </w:t>
          </w:r>
          <w:r>
            <w:rPr>
              <w:rFonts w:hint="eastAsia" w:ascii="宋体" w:hAnsi="宋体" w:eastAsia="宋体" w:cs="宋体"/>
              <w:highlight w:val="none"/>
              <w:lang w:val="en-US" w:eastAsia="zh-CN"/>
            </w:rPr>
            <w:t xml:space="preserve"> </w:t>
          </w:r>
          <w:r>
            <w:rPr>
              <w:rFonts w:hint="eastAsia" w:ascii="宋体" w:hAnsi="宋体" w:eastAsia="宋体" w:cs="宋体"/>
              <w:highlight w:val="none"/>
            </w:rPr>
            <w:t>范围</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_Toc7309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_Toc21767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规范性引用文件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_Toc21767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_Toc10375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3 </w:t>
          </w:r>
          <w:r>
            <w:rPr>
              <w:rFonts w:hint="eastAsia" w:ascii="宋体" w:hAnsi="宋体" w:eastAsia="宋体" w:cs="宋体"/>
              <w:highlight w:val="none"/>
              <w:lang w:val="en-US" w:eastAsia="zh-CN"/>
            </w:rPr>
            <w:t xml:space="preserve"> </w:t>
          </w:r>
          <w:r>
            <w:rPr>
              <w:rFonts w:hint="eastAsia" w:ascii="宋体" w:hAnsi="宋体" w:eastAsia="宋体" w:cs="宋体"/>
              <w:highlight w:val="none"/>
            </w:rPr>
            <w:t>术语和定义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_Toc10375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_Toc29177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4  缩略语</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_Toc29177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_Toc15175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  数据供方合规检查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_Toc15175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_Toc10361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5.1  业务资质检查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_Toc10361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_Toc13375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5.2  网络安全等级保护检查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_Toc13375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_Toc19146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5.3 委托处理数据情形的检查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_Toc19146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_Toc32198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6  数据来源合规检查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_Toc32198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_Toc21608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7  交易数据合规检查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_Toc21608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_Toc18288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8  数据处理过程合规检查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_Toc18288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_Toc30845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8.1</w:t>
          </w:r>
          <w:r>
            <w:rPr>
              <w:rFonts w:hint="eastAsia" w:hAnsi="宋体" w:cs="宋体"/>
              <w:highlight w:val="none"/>
              <w:lang w:val="en-US" w:eastAsia="zh-CN"/>
            </w:rPr>
            <w:t xml:space="preserve">  </w:t>
          </w:r>
          <w:r>
            <w:rPr>
              <w:rFonts w:hint="eastAsia" w:ascii="宋体" w:hAnsi="宋体" w:eastAsia="宋体" w:cs="宋体"/>
              <w:highlight w:val="none"/>
              <w:lang w:val="en-US" w:eastAsia="zh-CN"/>
            </w:rPr>
            <w:t>数据收集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_Toc30845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_Toc14876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8.2</w:t>
          </w:r>
          <w:r>
            <w:rPr>
              <w:rFonts w:hint="eastAsia" w:hAnsi="宋体" w:cs="宋体"/>
              <w:highlight w:val="none"/>
              <w:lang w:val="en-US" w:eastAsia="zh-CN"/>
            </w:rPr>
            <w:t xml:space="preserve"> </w:t>
          </w:r>
          <w:r>
            <w:rPr>
              <w:rFonts w:hint="eastAsia" w:ascii="宋体" w:hAnsi="宋体" w:eastAsia="宋体" w:cs="宋体"/>
              <w:highlight w:val="none"/>
              <w:lang w:val="en-US" w:eastAsia="zh-CN"/>
            </w:rPr>
            <w:t xml:space="preserve"> 数据存储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_Toc14876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_Toc23899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 xml:space="preserve">8.3 </w:t>
          </w:r>
          <w:r>
            <w:rPr>
              <w:rFonts w:hint="eastAsia" w:hAnsi="宋体" w:cs="宋体"/>
              <w:highlight w:val="none"/>
              <w:lang w:val="en-US" w:eastAsia="zh-CN"/>
            </w:rPr>
            <w:t xml:space="preserve"> </w:t>
          </w:r>
          <w:r>
            <w:rPr>
              <w:rFonts w:hint="eastAsia" w:ascii="宋体" w:hAnsi="宋体" w:eastAsia="宋体" w:cs="宋体"/>
              <w:highlight w:val="none"/>
              <w:lang w:val="en-US" w:eastAsia="zh-CN"/>
            </w:rPr>
            <w:t>数据使用、加工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_Toc23899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_Toc18426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 xml:space="preserve">8.4 </w:t>
          </w:r>
          <w:r>
            <w:rPr>
              <w:rFonts w:hint="eastAsia" w:hAnsi="宋体" w:cs="宋体"/>
              <w:highlight w:val="none"/>
              <w:lang w:val="en-US" w:eastAsia="zh-CN"/>
            </w:rPr>
            <w:t xml:space="preserve"> </w:t>
          </w:r>
          <w:r>
            <w:rPr>
              <w:rFonts w:hint="eastAsia" w:ascii="宋体" w:hAnsi="宋体" w:eastAsia="宋体" w:cs="宋体"/>
              <w:highlight w:val="none"/>
              <w:lang w:val="en-US" w:eastAsia="zh-CN"/>
            </w:rPr>
            <w:t>数据传输、提供</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_Toc18426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_Toc9461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 xml:space="preserve">8.5 </w:t>
          </w:r>
          <w:r>
            <w:rPr>
              <w:rFonts w:hint="eastAsia" w:hAnsi="宋体" w:cs="宋体"/>
              <w:highlight w:val="none"/>
              <w:lang w:val="en-US" w:eastAsia="zh-CN"/>
            </w:rPr>
            <w:t xml:space="preserve"> </w:t>
          </w:r>
          <w:r>
            <w:rPr>
              <w:rFonts w:hint="eastAsia" w:ascii="宋体" w:hAnsi="宋体" w:eastAsia="宋体" w:cs="宋体"/>
              <w:highlight w:val="none"/>
              <w:lang w:val="en-US" w:eastAsia="zh-CN"/>
            </w:rPr>
            <w:t>数据公开</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_Toc9461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_Toc10673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 xml:space="preserve">8.6 </w:t>
          </w:r>
          <w:r>
            <w:rPr>
              <w:rFonts w:hint="eastAsia" w:hAnsi="宋体" w:cs="宋体"/>
              <w:highlight w:val="none"/>
              <w:lang w:val="en-US" w:eastAsia="zh-CN"/>
            </w:rPr>
            <w:t xml:space="preserve"> </w:t>
          </w:r>
          <w:r>
            <w:rPr>
              <w:rFonts w:hint="eastAsia" w:ascii="宋体" w:hAnsi="宋体" w:eastAsia="宋体" w:cs="宋体"/>
              <w:highlight w:val="none"/>
              <w:lang w:val="en-US" w:eastAsia="zh-CN"/>
            </w:rPr>
            <w:t>数据删除、匿名化</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_Toc10673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_Toc12777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9  可追溯检查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_Toc12777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_Toc22954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9.1  文件检查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_Toc22954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_Toc22044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9.2  技术措施检查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_Toc22044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_Toc9939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9.3  数据登记</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_Toc9939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_Toc16122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10  数据出境合规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_Toc16122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10.1  出境安全评估要求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_Toc594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_Toc21709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10.2  数据出境合规检查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_Toc21709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_Toc2053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11  征信场景下数据合规检查的特殊要求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_Toc2053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_Toc11730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11.1  征信机构采集数据合规检查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_Toc11730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_Toc32703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11.2  征信机构提供数据合规检查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_Toc32703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_Toc31474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12  检查过程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_Toc31474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_Toc17818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12.1  主要环节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_Toc17818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_Toc17227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12.2  检查准备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_Toc17227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_Toc14826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12.3  检查实施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_Toc14826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_Toc11497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12.4  分析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_Toc11497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_Toc7555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12.5  判定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_Toc7555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_Toc17505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参　考　文　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_Toc17505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8"/>
            <w:keepNext w:val="0"/>
            <w:keepLines w:val="0"/>
            <w:pageBreakBefore w:val="0"/>
            <w:widowControl w:val="0"/>
            <w:tabs>
              <w:tab w:val="right" w:leader="dot" w:pos="9355"/>
              <w:tab w:val="clear" w:pos="9242"/>
            </w:tabs>
            <w:kinsoku/>
            <w:wordWrap/>
            <w:overflowPunct/>
            <w:topLinePunct w:val="0"/>
            <w:autoSpaceDE/>
            <w:autoSpaceDN/>
            <w:bidi w:val="0"/>
            <w:adjustRightInd/>
            <w:snapToGrid/>
            <w:spacing w:before="79" w:beforeLines="25" w:after="79" w:afterLines="25" w:line="240" w:lineRule="auto"/>
            <w:textAlignment w:val="auto"/>
          </w:pPr>
          <w:r>
            <w:rPr>
              <w:rFonts w:hint="eastAsia" w:ascii="宋体" w:hAnsi="宋体" w:eastAsia="宋体" w:cs="宋体"/>
              <w:highlight w:val="none"/>
            </w:rPr>
            <w:fldChar w:fldCharType="end"/>
          </w:r>
        </w:p>
      </w:sdtContent>
    </w:sdt>
    <w:p>
      <w:pPr>
        <w:rPr>
          <w:rFonts w:hint="eastAsia"/>
        </w:rPr>
      </w:pPr>
      <w:r>
        <w:rPr>
          <w:rFonts w:hint="eastAsia" w:ascii="黑体" w:hAnsi="黑体" w:eastAsia="黑体" w:cs="黑体"/>
          <w:sz w:val="32"/>
          <w:szCs w:val="32"/>
        </w:rPr>
        <w:br w:type="page"/>
      </w:r>
    </w:p>
    <w:p>
      <w:pPr>
        <w:pStyle w:val="9"/>
        <w:tabs>
          <w:tab w:val="right" w:leader="dot" w:pos="9355"/>
          <w:tab w:val="clear" w:pos="9242"/>
        </w:tabs>
        <w:jc w:val="center"/>
        <w:outlineLvl w:val="0"/>
        <w:rPr>
          <w:rFonts w:hint="eastAsia" w:ascii="黑体" w:hAnsi="黑体" w:eastAsia="黑体" w:cs="黑体"/>
          <w:sz w:val="32"/>
          <w:szCs w:val="32"/>
        </w:rPr>
      </w:pPr>
      <w:bookmarkStart w:id="1" w:name="_Toc8119"/>
      <w:bookmarkStart w:id="2" w:name="_Toc14741"/>
      <w:r>
        <w:rPr>
          <w:rFonts w:hint="eastAsia" w:ascii="黑体" w:hAnsi="黑体" w:eastAsia="黑体" w:cs="黑体"/>
          <w:sz w:val="32"/>
          <w:szCs w:val="32"/>
        </w:rPr>
        <w:t>前</w:t>
      </w:r>
      <w:bookmarkStart w:id="3" w:name="BKQY"/>
      <w:r>
        <w:rPr>
          <w:rFonts w:hint="eastAsia" w:ascii="黑体" w:hAnsi="黑体" w:eastAsia="黑体" w:cs="黑体"/>
          <w:sz w:val="32"/>
          <w:szCs w:val="32"/>
        </w:rPr>
        <w:t>  言</w:t>
      </w:r>
      <w:bookmarkEnd w:id="1"/>
      <w:bookmarkEnd w:id="2"/>
      <w:bookmarkEnd w:id="3"/>
    </w:p>
    <w:p>
      <w:pPr>
        <w:pStyle w:val="31"/>
        <w:rPr>
          <w:rFonts w:hint="eastAsia" w:ascii="宋体" w:hAnsi="宋体" w:eastAsia="宋体" w:cs="宋体"/>
        </w:rPr>
      </w:pPr>
      <w:r>
        <w:rPr>
          <w:rFonts w:hint="eastAsia" w:ascii="宋体" w:hAnsi="宋体" w:eastAsia="宋体" w:cs="宋体"/>
        </w:rPr>
        <w:t>本文件按照GB/T</w:t>
      </w:r>
      <w:r>
        <w:rPr>
          <w:rFonts w:hint="eastAsia" w:ascii="宋体" w:hAnsi="宋体" w:eastAsia="宋体" w:cs="宋体"/>
          <w:lang w:val="en-US" w:eastAsia="zh-CN"/>
        </w:rPr>
        <w:t xml:space="preserve"> 1.1</w:t>
      </w:r>
      <w:r>
        <w:rPr>
          <w:rFonts w:hint="eastAsia" w:ascii="宋体" w:hAnsi="宋体" w:eastAsia="宋体" w:cs="宋体"/>
        </w:rPr>
        <w:t>-2020《标准化工作导则 第1部分：标准化文件的结构和起草规则》的规</w:t>
      </w:r>
      <w:r>
        <w:rPr>
          <w:rFonts w:hint="eastAsia" w:ascii="宋体" w:hAnsi="宋体" w:eastAsia="宋体" w:cs="宋体"/>
          <w:lang w:val="en-US"/>
        </w:rPr>
        <w:t>定</w:t>
      </w:r>
      <w:r>
        <w:rPr>
          <w:rFonts w:hint="eastAsia" w:ascii="宋体" w:hAnsi="宋体" w:eastAsia="宋体" w:cs="宋体"/>
        </w:rPr>
        <w:t>起草。</w:t>
      </w:r>
    </w:p>
    <w:p>
      <w:pPr>
        <w:pStyle w:val="31"/>
        <w:rPr>
          <w:rFonts w:hint="default" w:ascii="宋体" w:hAnsi="宋体" w:eastAsia="宋体" w:cs="宋体"/>
          <w:lang w:val="en-US" w:eastAsia="zh-CN"/>
        </w:rPr>
      </w:pPr>
      <w:r>
        <w:rPr>
          <w:rFonts w:hint="eastAsia" w:hAnsi="宋体" w:cs="宋体"/>
          <w:lang w:val="en-US" w:eastAsia="zh-CN"/>
        </w:rPr>
        <w:t>请注意本文件的某些内容可能涉及专利。本文件的发布机构不承担识别专利的责任。</w:t>
      </w:r>
    </w:p>
    <w:p>
      <w:pPr>
        <w:pStyle w:val="31"/>
        <w:rPr>
          <w:rFonts w:hint="eastAsia" w:ascii="宋体" w:hAnsi="宋体" w:eastAsia="宋体" w:cs="宋体"/>
          <w:highlight w:val="none"/>
        </w:rPr>
      </w:pPr>
      <w:r>
        <w:rPr>
          <w:rFonts w:hint="eastAsia" w:ascii="宋体" w:hAnsi="宋体" w:eastAsia="宋体" w:cs="宋体"/>
          <w:highlight w:val="none"/>
        </w:rPr>
        <w:t>本文件由</w:t>
      </w:r>
      <w:r>
        <w:rPr>
          <w:rFonts w:hint="eastAsia" w:hAnsi="宋体"/>
          <w:highlight w:val="none"/>
          <w:lang w:val="en-US" w:eastAsia="zh-CN"/>
        </w:rPr>
        <w:t>辽宁省工业和信息化厅</w:t>
      </w:r>
      <w:r>
        <w:rPr>
          <w:rFonts w:hint="eastAsia" w:ascii="宋体" w:hAnsi="宋体" w:eastAsia="宋体" w:cs="宋体"/>
          <w:highlight w:val="none"/>
        </w:rPr>
        <w:t>提出。</w:t>
      </w:r>
    </w:p>
    <w:p>
      <w:pPr>
        <w:pStyle w:val="31"/>
        <w:rPr>
          <w:rFonts w:hint="eastAsia" w:ascii="宋体" w:hAnsi="宋体" w:eastAsia="宋体" w:cs="宋体"/>
          <w:highlight w:val="none"/>
        </w:rPr>
      </w:pPr>
      <w:r>
        <w:rPr>
          <w:rFonts w:hint="eastAsia" w:ascii="宋体" w:hAnsi="宋体" w:eastAsia="宋体" w:cs="宋体"/>
          <w:highlight w:val="none"/>
        </w:rPr>
        <w:t>本文件由</w:t>
      </w:r>
      <w:r>
        <w:rPr>
          <w:rFonts w:hint="eastAsia" w:hAnsi="宋体"/>
          <w:highlight w:val="none"/>
          <w:lang w:val="en-US" w:eastAsia="zh-CN"/>
        </w:rPr>
        <w:t>辽宁省工业和信息化厅</w:t>
      </w:r>
      <w:r>
        <w:rPr>
          <w:rFonts w:hint="eastAsia" w:ascii="宋体" w:hAnsi="宋体" w:eastAsia="宋体" w:cs="宋体"/>
          <w:highlight w:val="none"/>
          <w:lang w:val="en-US" w:eastAsia="zh-CN"/>
        </w:rPr>
        <w:t>归口</w:t>
      </w:r>
      <w:r>
        <w:rPr>
          <w:rFonts w:hint="eastAsia" w:ascii="宋体" w:hAnsi="宋体" w:eastAsia="宋体" w:cs="宋体"/>
          <w:highlight w:val="none"/>
        </w:rPr>
        <w:t>。</w:t>
      </w:r>
    </w:p>
    <w:p>
      <w:pPr>
        <w:pStyle w:val="31"/>
        <w:rPr>
          <w:rFonts w:hint="eastAsia" w:hAnsi="宋体" w:cs="宋体"/>
          <w:highlight w:val="none"/>
          <w:lang w:val="en-US" w:eastAsia="zh-CN"/>
        </w:rPr>
      </w:pPr>
      <w:bookmarkStart w:id="78" w:name="_GoBack"/>
      <w:r>
        <w:rPr>
          <w:rFonts w:hint="eastAsia" w:ascii="宋体" w:hAnsi="宋体" w:eastAsia="宋体" w:cs="宋体"/>
          <w:highlight w:val="none"/>
        </w:rPr>
        <w:t>本文件起草单位</w:t>
      </w:r>
      <w:r>
        <w:rPr>
          <w:rFonts w:hint="eastAsia" w:hAnsi="宋体" w:cs="宋体"/>
          <w:highlight w:val="none"/>
          <w:lang w:eastAsia="zh-CN"/>
        </w:rPr>
        <w:t>：</w:t>
      </w:r>
      <w:r>
        <w:rPr>
          <w:rFonts w:hint="eastAsia" w:hAnsi="宋体" w:cs="宋体"/>
          <w:highlight w:val="none"/>
          <w:lang w:val="en-US" w:eastAsia="zh-CN"/>
        </w:rPr>
        <w:t>沈阳华睿博信息技术有限公司、上海数据交易所、北京赛迪时代信息产业股份有限公司、辽宁艾特斯智能交通技术有限公司、东北大学、辽宁省大数据管理中心、国家计算机网络应急技术处理协调中心辽宁分中心等。</w:t>
      </w:r>
    </w:p>
    <w:p>
      <w:pPr>
        <w:pStyle w:val="31"/>
        <w:rPr>
          <w:rFonts w:hint="eastAsia" w:ascii="宋体" w:hAnsi="宋体" w:eastAsia="宋体" w:cs="宋体"/>
          <w:highlight w:val="none"/>
        </w:rPr>
      </w:pPr>
      <w:r>
        <w:rPr>
          <w:rFonts w:hint="eastAsia" w:ascii="宋体" w:hAnsi="宋体" w:eastAsia="宋体" w:cs="宋体"/>
          <w:highlight w:val="none"/>
        </w:rPr>
        <w:t>本文件主要起草人：</w:t>
      </w:r>
      <w:r>
        <w:rPr>
          <w:rFonts w:hint="eastAsia" w:hAnsi="宋体" w:cs="宋体"/>
          <w:highlight w:val="none"/>
          <w:lang w:val="en-US" w:eastAsia="zh-CN"/>
        </w:rPr>
        <w:t>邵华、申翔宇、张翔宇、魏国伟、王宇飞、宋宪辉、谭振华、杨成实、李凯等。</w:t>
      </w:r>
    </w:p>
    <w:bookmarkEnd w:id="78"/>
    <w:p>
      <w:pPr>
        <w:pStyle w:val="31"/>
        <w:rPr>
          <w:rFonts w:hint="eastAsia" w:ascii="宋体" w:hAnsi="宋体" w:eastAsia="宋体" w:cs="宋体"/>
          <w:highlight w:val="none"/>
        </w:rPr>
      </w:pPr>
      <w:r>
        <w:rPr>
          <w:rFonts w:hint="eastAsia" w:ascii="宋体" w:hAnsi="宋体" w:eastAsia="宋体" w:cs="宋体"/>
          <w:highlight w:val="none"/>
        </w:rPr>
        <w:t>本文件发布实施后，任何单位和个人如有问题和意见建议，均可以通过来电和来函等方式进行反馈，我们将及时答复并认真处理，根据实际情况依法进行评估及复审。</w:t>
      </w:r>
    </w:p>
    <w:p>
      <w:pPr>
        <w:pStyle w:val="31"/>
        <w:rPr>
          <w:rFonts w:hint="eastAsia" w:ascii="宋体" w:hAnsi="宋体" w:eastAsia="宋体" w:cs="宋体"/>
          <w:highlight w:val="none"/>
        </w:rPr>
      </w:pPr>
      <w:r>
        <w:rPr>
          <w:rFonts w:hint="eastAsia" w:ascii="宋体" w:hAnsi="宋体" w:eastAsia="宋体" w:cs="宋体"/>
          <w:highlight w:val="none"/>
        </w:rPr>
        <w:t>归口管理部门通信地址：沈阳市辽宁省沈阳市皇姑区北陵大街45-2号。</w:t>
      </w:r>
    </w:p>
    <w:p>
      <w:pPr>
        <w:pStyle w:val="31"/>
        <w:rPr>
          <w:rFonts w:hint="eastAsia" w:ascii="宋体" w:hAnsi="宋体" w:eastAsia="宋体" w:cs="宋体"/>
          <w:highlight w:val="none"/>
          <w:lang w:val="en-US" w:eastAsia="zh-CN"/>
        </w:rPr>
      </w:pPr>
      <w:r>
        <w:rPr>
          <w:rFonts w:hint="eastAsia" w:ascii="宋体" w:hAnsi="宋体" w:eastAsia="宋体" w:cs="宋体"/>
          <w:highlight w:val="none"/>
        </w:rPr>
        <w:t>归口管理部门联系电话：024-</w:t>
      </w:r>
      <w:r>
        <w:rPr>
          <w:rFonts w:hint="eastAsia" w:hAnsi="宋体" w:cs="宋体"/>
          <w:highlight w:val="none"/>
          <w:lang w:val="en-US" w:eastAsia="zh-CN"/>
        </w:rPr>
        <w:t>86913384</w:t>
      </w:r>
      <w:r>
        <w:rPr>
          <w:rFonts w:hint="eastAsia" w:ascii="宋体" w:hAnsi="宋体" w:eastAsia="宋体" w:cs="宋体"/>
          <w:highlight w:val="none"/>
          <w:lang w:eastAsia="zh-CN"/>
        </w:rPr>
        <w:t>。</w:t>
      </w:r>
    </w:p>
    <w:p>
      <w:pPr>
        <w:pStyle w:val="31"/>
        <w:rPr>
          <w:rFonts w:hint="eastAsia" w:ascii="宋体" w:hAnsi="宋体" w:eastAsia="宋体" w:cs="宋体"/>
        </w:rPr>
      </w:pPr>
      <w:r>
        <w:rPr>
          <w:rFonts w:hint="eastAsia" w:ascii="宋体" w:hAnsi="宋体" w:eastAsia="宋体" w:cs="宋体"/>
        </w:rPr>
        <w:t>标准起草单位通讯地址：辽宁</w:t>
      </w:r>
      <w:r>
        <w:rPr>
          <w:rFonts w:hint="eastAsia" w:ascii="宋体" w:hAnsi="宋体" w:eastAsia="宋体" w:cs="宋体"/>
          <w:szCs w:val="22"/>
        </w:rPr>
        <w:t>省</w:t>
      </w:r>
      <w:r>
        <w:rPr>
          <w:rFonts w:hint="eastAsia" w:ascii="宋体" w:hAnsi="宋体" w:eastAsia="宋体" w:cs="宋体"/>
          <w:szCs w:val="22"/>
          <w:lang w:val="en-US" w:eastAsia="zh-CN"/>
        </w:rPr>
        <w:t>沈阳市</w:t>
      </w:r>
      <w:r>
        <w:rPr>
          <w:rFonts w:hint="eastAsia" w:hAnsi="宋体" w:cs="宋体"/>
          <w:szCs w:val="22"/>
          <w:lang w:val="en-US" w:eastAsia="zh-CN"/>
        </w:rPr>
        <w:t>和平区青年大街386号华阳国际大厦2396</w:t>
      </w:r>
      <w:r>
        <w:rPr>
          <w:rFonts w:hint="eastAsia" w:ascii="宋体" w:hAnsi="宋体" w:eastAsia="宋体" w:cs="宋体"/>
        </w:rPr>
        <w:t>。</w:t>
      </w:r>
    </w:p>
    <w:p>
      <w:pPr>
        <w:pStyle w:val="31"/>
        <w:rPr>
          <w:szCs w:val="22"/>
        </w:rPr>
        <w:sectPr>
          <w:headerReference r:id="rId4" w:type="default"/>
          <w:footerReference r:id="rId6" w:type="default"/>
          <w:headerReference r:id="rId5" w:type="even"/>
          <w:footerReference r:id="rId7" w:type="even"/>
          <w:pgSz w:w="11906" w:h="16838"/>
          <w:pgMar w:top="141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eastAsia="宋体" w:cs="宋体"/>
        </w:rPr>
        <w:t>标准起草单位联系电话：</w:t>
      </w:r>
      <w:r>
        <w:rPr>
          <w:rFonts w:hint="eastAsia" w:hAnsi="宋体" w:cs="宋体"/>
          <w:lang w:val="en-US" w:eastAsia="zh-CN"/>
        </w:rPr>
        <w:t>18698849086</w:t>
      </w:r>
      <w:r>
        <w:rPr>
          <w:rFonts w:hint="eastAsia" w:ascii="宋体" w:hAnsi="宋体" w:eastAsia="宋体" w:cs="宋体"/>
        </w:rPr>
        <w:t>。</w:t>
      </w:r>
      <w:r>
        <w:rPr>
          <w:rFonts w:hint="eastAsia"/>
          <w:szCs w:val="22"/>
        </w:rPr>
        <w:t xml:space="preserve"> </w:t>
      </w:r>
    </w:p>
    <w:p>
      <w:pPr>
        <w:jc w:val="center"/>
        <w:outlineLvl w:val="0"/>
        <w:rPr>
          <w:rFonts w:hint="default" w:ascii="黑体" w:hAnsi="黑体" w:eastAsia="黑体" w:cs="黑体"/>
          <w:sz w:val="32"/>
          <w:szCs w:val="32"/>
          <w:lang w:val="en-US" w:eastAsia="zh-CN"/>
        </w:rPr>
      </w:pPr>
      <w:bookmarkStart w:id="4" w:name="_Toc4832"/>
      <w:r>
        <w:rPr>
          <w:rFonts w:hint="eastAsia" w:ascii="黑体" w:hAnsi="黑体" w:eastAsia="黑体" w:cs="黑体"/>
          <w:sz w:val="32"/>
          <w:szCs w:val="32"/>
          <w:lang w:val="en-US" w:eastAsia="zh-CN"/>
        </w:rPr>
        <w:t>工业数据流通  数据合规性检查规范</w:t>
      </w:r>
      <w:bookmarkEnd w:id="4"/>
    </w:p>
    <w:p>
      <w:pPr>
        <w:pStyle w:val="36"/>
        <w:spacing w:before="312" w:after="312"/>
        <w:outlineLvl w:val="0"/>
        <w:rPr>
          <w:highlight w:val="none"/>
        </w:rPr>
      </w:pPr>
      <w:bookmarkStart w:id="5" w:name="_Toc2662"/>
      <w:bookmarkStart w:id="6" w:name="_Toc7309"/>
      <w:bookmarkStart w:id="7" w:name="_Toc16446"/>
      <w:bookmarkStart w:id="8" w:name="_Toc17494"/>
      <w:bookmarkStart w:id="9" w:name="_Toc30899"/>
      <w:bookmarkStart w:id="10" w:name="_Toc6150"/>
      <w:bookmarkStart w:id="11" w:name="_Toc13382"/>
      <w:bookmarkStart w:id="12" w:name="_Toc15340"/>
      <w:bookmarkStart w:id="13" w:name="_Toc1753"/>
      <w:bookmarkStart w:id="14" w:name="_Toc21437"/>
      <w:bookmarkStart w:id="15" w:name="_Toc32493"/>
      <w:r>
        <w:rPr>
          <w:rFonts w:hint="eastAsia"/>
          <w:highlight w:val="none"/>
        </w:rPr>
        <w:t>范围</w:t>
      </w:r>
      <w:bookmarkEnd w:id="5"/>
      <w:bookmarkEnd w:id="6"/>
      <w:bookmarkEnd w:id="7"/>
      <w:bookmarkEnd w:id="8"/>
      <w:bookmarkEnd w:id="9"/>
      <w:bookmarkEnd w:id="10"/>
      <w:bookmarkEnd w:id="11"/>
      <w:bookmarkEnd w:id="12"/>
      <w:bookmarkEnd w:id="13"/>
      <w:bookmarkEnd w:id="14"/>
      <w:bookmarkEnd w:id="15"/>
    </w:p>
    <w:p>
      <w:pPr>
        <w:pStyle w:val="31"/>
        <w:rPr>
          <w:rFonts w:hint="default"/>
          <w:szCs w:val="21"/>
          <w:highlight w:val="none"/>
          <w:lang w:val="en-US" w:eastAsia="zh-CN"/>
        </w:rPr>
      </w:pPr>
      <w:r>
        <w:rPr>
          <w:rFonts w:hint="eastAsia"/>
          <w:szCs w:val="21"/>
          <w:highlight w:val="none"/>
        </w:rPr>
        <w:t>本文件规定了</w:t>
      </w:r>
      <w:r>
        <w:rPr>
          <w:rFonts w:hint="eastAsia"/>
          <w:szCs w:val="21"/>
          <w:highlight w:val="none"/>
          <w:lang w:val="en-US" w:eastAsia="zh-CN"/>
        </w:rPr>
        <w:t>数据供方合规检查、数据来源合规检查、交易数据合规检查、数据处理过程合规检查、可追溯检查、数据出境合规、征信场景下数据合规检查和检查过程等方面的内容。</w:t>
      </w:r>
    </w:p>
    <w:p>
      <w:pPr>
        <w:pStyle w:val="31"/>
        <w:rPr>
          <w:rFonts w:hint="default" w:eastAsia="宋体"/>
          <w:szCs w:val="21"/>
          <w:highlight w:val="none"/>
          <w:lang w:val="en-US" w:eastAsia="zh-CN"/>
        </w:rPr>
      </w:pPr>
      <w:r>
        <w:rPr>
          <w:rFonts w:hint="eastAsia"/>
          <w:szCs w:val="21"/>
          <w:highlight w:val="none"/>
          <w:lang w:val="en-US" w:eastAsia="zh-CN"/>
        </w:rPr>
        <w:t>本文件适用于工业数据流通中的数据合规性检查。</w:t>
      </w:r>
    </w:p>
    <w:p>
      <w:pPr>
        <w:pStyle w:val="36"/>
        <w:spacing w:before="312" w:after="312"/>
        <w:outlineLvl w:val="0"/>
        <w:rPr>
          <w:highlight w:val="none"/>
        </w:rPr>
      </w:pPr>
      <w:bookmarkStart w:id="16" w:name="_Toc2217"/>
      <w:bookmarkStart w:id="17" w:name="_Toc10575"/>
      <w:bookmarkStart w:id="18" w:name="_Toc21767"/>
      <w:bookmarkStart w:id="19" w:name="_Toc23379"/>
      <w:bookmarkStart w:id="20" w:name="_Toc5713"/>
      <w:bookmarkStart w:id="21" w:name="_Toc28726"/>
      <w:bookmarkStart w:id="22" w:name="_Toc17506"/>
      <w:bookmarkStart w:id="23" w:name="_Toc969"/>
      <w:bookmarkStart w:id="24" w:name="_Toc13501"/>
      <w:bookmarkStart w:id="25" w:name="_Toc16965"/>
      <w:bookmarkStart w:id="26" w:name="_Toc16842"/>
      <w:r>
        <w:rPr>
          <w:rFonts w:hint="eastAsia"/>
          <w:highlight w:val="none"/>
        </w:rPr>
        <w:t>规范性引用文件</w:t>
      </w:r>
      <w:bookmarkEnd w:id="16"/>
      <w:bookmarkEnd w:id="17"/>
      <w:bookmarkEnd w:id="18"/>
      <w:bookmarkEnd w:id="19"/>
      <w:bookmarkEnd w:id="20"/>
      <w:bookmarkEnd w:id="21"/>
      <w:bookmarkEnd w:id="22"/>
      <w:bookmarkEnd w:id="23"/>
      <w:bookmarkEnd w:id="24"/>
      <w:bookmarkEnd w:id="25"/>
      <w:bookmarkEnd w:id="26"/>
    </w:p>
    <w:p>
      <w:pPr>
        <w:pStyle w:val="31"/>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rPr>
          <w:rFonts w:hint="default"/>
          <w:lang w:val="en-US" w:eastAsia="zh-CN"/>
        </w:rPr>
      </w:pPr>
      <w:r>
        <w:rPr>
          <w:rFonts w:hint="eastAsia"/>
          <w:lang w:val="en-US" w:eastAsia="zh-CN"/>
        </w:rPr>
        <w:t>GB/T 22240-2020  信息安全技术  网络安全等级保护定级指南</w:t>
      </w:r>
    </w:p>
    <w:p>
      <w:pPr>
        <w:pStyle w:val="31"/>
        <w:rPr>
          <w:rFonts w:hint="eastAsia"/>
          <w:lang w:val="en-US" w:eastAsia="zh-CN"/>
        </w:rPr>
      </w:pPr>
      <w:r>
        <w:rPr>
          <w:rFonts w:hint="eastAsia"/>
          <w:lang w:val="en-US" w:eastAsia="zh-CN"/>
        </w:rPr>
        <w:t>GB/T 35273-2017  信息安全技术  个人信息安全规范</w:t>
      </w:r>
    </w:p>
    <w:p>
      <w:pPr>
        <w:pStyle w:val="31"/>
        <w:rPr>
          <w:rFonts w:hint="eastAsia"/>
          <w:lang w:val="en-US" w:eastAsia="zh-CN"/>
        </w:rPr>
      </w:pPr>
      <w:r>
        <w:rPr>
          <w:rFonts w:hint="eastAsia"/>
          <w:lang w:val="en-US" w:eastAsia="zh-CN"/>
        </w:rPr>
        <w:t>GB/T 35274-2017  信息安全技术  大数据服务安全能力要求</w:t>
      </w:r>
    </w:p>
    <w:p>
      <w:pPr>
        <w:pStyle w:val="31"/>
        <w:rPr>
          <w:rFonts w:hint="eastAsia"/>
          <w:lang w:val="en-US" w:eastAsia="zh-CN"/>
        </w:rPr>
      </w:pPr>
      <w:r>
        <w:rPr>
          <w:rFonts w:hint="eastAsia"/>
          <w:lang w:val="en-US" w:eastAsia="zh-CN"/>
        </w:rPr>
        <w:t>GB/T 37932-2019  信息安全技术  数据交易服务安全要求</w:t>
      </w:r>
    </w:p>
    <w:p>
      <w:pPr>
        <w:pStyle w:val="31"/>
        <w:rPr>
          <w:rFonts w:hint="default"/>
          <w:lang w:val="en-US" w:eastAsia="zh-CN"/>
        </w:rPr>
      </w:pPr>
      <w:r>
        <w:rPr>
          <w:rFonts w:hint="eastAsia"/>
          <w:lang w:val="en-US" w:eastAsia="zh-CN"/>
        </w:rPr>
        <w:t>GB/T 39204-2022  信息安全技术  关键信息基础设施安全保护要求</w:t>
      </w:r>
    </w:p>
    <w:p>
      <w:pPr>
        <w:pStyle w:val="31"/>
        <w:rPr>
          <w:rFonts w:hint="default"/>
          <w:lang w:val="en-US" w:eastAsia="zh-CN"/>
        </w:rPr>
      </w:pPr>
      <w:r>
        <w:rPr>
          <w:rFonts w:hint="eastAsia"/>
          <w:lang w:val="en-US" w:eastAsia="zh-CN"/>
        </w:rPr>
        <w:t>GB/T 39335-2020  信息安全技术  个人信息安全影响评估指南</w:t>
      </w:r>
    </w:p>
    <w:p>
      <w:pPr>
        <w:pStyle w:val="31"/>
        <w:rPr>
          <w:rFonts w:hint="default"/>
          <w:lang w:val="en-US" w:eastAsia="zh-CN"/>
        </w:rPr>
      </w:pPr>
      <w:r>
        <w:rPr>
          <w:rFonts w:hint="eastAsia"/>
          <w:lang w:val="en-US" w:eastAsia="zh-CN"/>
        </w:rPr>
        <w:t>GB/T 41479-2022  信息安全技术  网络数据处理安全要求</w:t>
      </w:r>
    </w:p>
    <w:p>
      <w:pPr>
        <w:pStyle w:val="36"/>
        <w:spacing w:before="312" w:after="312"/>
        <w:outlineLvl w:val="0"/>
        <w:rPr>
          <w:highlight w:val="none"/>
        </w:rPr>
      </w:pPr>
      <w:bookmarkStart w:id="27" w:name="_Toc420509244"/>
      <w:bookmarkStart w:id="28" w:name="_Toc12695"/>
      <w:bookmarkStart w:id="29" w:name="_Toc11012"/>
      <w:bookmarkStart w:id="30" w:name="_Toc19212"/>
      <w:bookmarkStart w:id="31" w:name="_Toc5294"/>
      <w:bookmarkStart w:id="32" w:name="_Toc29937"/>
      <w:bookmarkStart w:id="33" w:name="_Toc420509188"/>
      <w:bookmarkStart w:id="34" w:name="_Toc19728"/>
      <w:bookmarkStart w:id="35" w:name="_Toc7656"/>
      <w:bookmarkStart w:id="36" w:name="_Toc24065"/>
      <w:bookmarkStart w:id="37" w:name="_Toc32127"/>
      <w:bookmarkStart w:id="38" w:name="_Toc9104"/>
      <w:bookmarkStart w:id="39" w:name="_Toc10375"/>
      <w:r>
        <w:rPr>
          <w:rFonts w:hint="eastAsia"/>
          <w:highlight w:val="none"/>
        </w:rPr>
        <w:t>术语和定义</w:t>
      </w:r>
      <w:bookmarkEnd w:id="27"/>
      <w:bookmarkEnd w:id="28"/>
      <w:bookmarkEnd w:id="29"/>
      <w:bookmarkEnd w:id="30"/>
      <w:bookmarkEnd w:id="31"/>
      <w:bookmarkEnd w:id="32"/>
      <w:bookmarkEnd w:id="33"/>
      <w:bookmarkEnd w:id="34"/>
      <w:bookmarkEnd w:id="35"/>
      <w:bookmarkEnd w:id="36"/>
      <w:bookmarkEnd w:id="37"/>
      <w:bookmarkEnd w:id="38"/>
      <w:bookmarkEnd w:id="39"/>
    </w:p>
    <w:p>
      <w:pPr>
        <w:pStyle w:val="31"/>
        <w:rPr>
          <w:rFonts w:hint="eastAsia" w:hAnsi="宋体"/>
        </w:rPr>
      </w:pPr>
      <w:r>
        <w:rPr>
          <w:rFonts w:hint="eastAsia" w:hAnsi="宋体"/>
          <w:lang w:val="en-US" w:eastAsia="zh-CN"/>
        </w:rPr>
        <w:t>下列术语和定义适用于本文件</w:t>
      </w:r>
      <w:r>
        <w:rPr>
          <w:rFonts w:hint="eastAsia" w:hAnsi="宋体"/>
        </w:rPr>
        <w:t>。</w:t>
      </w:r>
    </w:p>
    <w:p>
      <w:pPr>
        <w:pStyle w:val="37"/>
        <w:spacing w:before="156" w:after="156"/>
        <w:rPr>
          <w:rFonts w:hint="eastAsia"/>
        </w:rPr>
      </w:pPr>
    </w:p>
    <w:p>
      <w:pPr>
        <w:pStyle w:val="31"/>
        <w:rPr>
          <w:rFonts w:hint="eastAsia" w:ascii="黑体" w:hAnsi="黑体" w:eastAsia="黑体" w:cs="黑体"/>
          <w:lang w:val="en-US" w:eastAsia="zh-CN"/>
        </w:rPr>
      </w:pPr>
      <w:r>
        <w:rPr>
          <w:rFonts w:hint="eastAsia" w:ascii="黑体" w:hAnsi="黑体" w:eastAsia="黑体" w:cs="黑体"/>
          <w:lang w:val="en-US" w:eastAsia="zh-CN"/>
        </w:rPr>
        <w:t>数据</w:t>
      </w:r>
      <w:r>
        <w:rPr>
          <w:rFonts w:hint="eastAsia" w:ascii="黑体" w:hAnsi="黑体" w:eastAsia="黑体" w:cs="黑体"/>
        </w:rPr>
        <w:t>　</w:t>
      </w:r>
      <w:r>
        <w:rPr>
          <w:rFonts w:hint="eastAsia" w:ascii="黑体" w:hAnsi="黑体" w:eastAsia="黑体" w:cs="黑体"/>
          <w:lang w:val="en-US" w:eastAsia="zh-CN"/>
        </w:rPr>
        <w:t>data</w:t>
      </w:r>
    </w:p>
    <w:p>
      <w:pPr>
        <w:pStyle w:val="31"/>
        <w:rPr>
          <w:rFonts w:hint="eastAsia"/>
          <w:lang w:val="en-US" w:eastAsia="zh-CN"/>
        </w:rPr>
      </w:pPr>
      <w:r>
        <w:rPr>
          <w:rFonts w:hint="eastAsia"/>
          <w:lang w:val="en-US" w:eastAsia="zh-CN"/>
        </w:rPr>
        <w:t>任何以电子或其他方式对信息的记录。</w:t>
      </w:r>
    </w:p>
    <w:p>
      <w:pPr>
        <w:pStyle w:val="31"/>
        <w:rPr>
          <w:rFonts w:hint="eastAsia" w:hAnsi="宋体"/>
          <w:lang w:val="en-US" w:eastAsia="zh-CN"/>
        </w:rPr>
      </w:pPr>
      <w:r>
        <w:rPr>
          <w:rFonts w:hint="eastAsia" w:hAnsi="宋体"/>
          <w:lang w:val="en-US" w:eastAsia="zh-CN"/>
        </w:rPr>
        <w:t>[来源:GB/T 41479-2022，3.1]</w:t>
      </w:r>
    </w:p>
    <w:p>
      <w:pPr>
        <w:pStyle w:val="37"/>
        <w:spacing w:before="156" w:after="156"/>
        <w:rPr>
          <w:rFonts w:hint="eastAsia"/>
          <w:lang w:val="en-US" w:eastAsia="zh-CN"/>
        </w:rPr>
      </w:pPr>
    </w:p>
    <w:p>
      <w:pPr>
        <w:pStyle w:val="31"/>
        <w:rPr>
          <w:rFonts w:hint="eastAsia" w:hAnsi="宋体"/>
          <w:lang w:val="en-US" w:eastAsia="zh-CN"/>
        </w:rPr>
      </w:pPr>
      <w:r>
        <w:rPr>
          <w:rFonts w:hint="eastAsia" w:ascii="黑体" w:hAnsi="黑体" w:eastAsia="黑体" w:cs="黑体"/>
          <w:lang w:val="en-US" w:eastAsia="zh-CN"/>
        </w:rPr>
        <w:t>数据供方</w:t>
      </w:r>
      <w:r>
        <w:rPr>
          <w:rFonts w:hint="eastAsia" w:ascii="黑体" w:hAnsi="黑体" w:eastAsia="黑体" w:cs="黑体"/>
        </w:rPr>
        <w:t>　</w:t>
      </w:r>
      <w:r>
        <w:rPr>
          <w:rFonts w:hint="eastAsia" w:ascii="黑体" w:hAnsi="黑体" w:eastAsia="黑体" w:cs="黑体"/>
          <w:lang w:val="en-US" w:eastAsia="zh-CN"/>
        </w:rPr>
        <w:t>data</w:t>
      </w:r>
      <w:r>
        <w:rPr>
          <w:rFonts w:hint="eastAsia" w:ascii="黑体" w:hAnsi="黑体" w:eastAsia="黑体" w:cs="黑体"/>
        </w:rPr>
        <w:t xml:space="preserve"> </w:t>
      </w:r>
      <w:r>
        <w:rPr>
          <w:rFonts w:hint="eastAsia" w:ascii="黑体" w:hAnsi="黑体" w:eastAsia="黑体" w:cs="黑体"/>
          <w:lang w:val="en-US" w:eastAsia="zh-CN"/>
        </w:rPr>
        <w:t>supplier</w:t>
      </w:r>
    </w:p>
    <w:p>
      <w:pPr>
        <w:pStyle w:val="31"/>
        <w:rPr>
          <w:rFonts w:hint="eastAsia" w:hAnsi="宋体"/>
          <w:lang w:val="en-US" w:eastAsia="zh-CN"/>
        </w:rPr>
      </w:pPr>
      <w:r>
        <w:rPr>
          <w:rFonts w:hint="eastAsia"/>
          <w:lang w:val="en-US" w:eastAsia="zh-CN"/>
        </w:rPr>
        <w:t>数据交易中提供数据的组织机构。</w:t>
      </w:r>
    </w:p>
    <w:p>
      <w:pPr>
        <w:pStyle w:val="31"/>
        <w:rPr>
          <w:rFonts w:hint="eastAsia" w:hAnsi="宋体"/>
          <w:lang w:val="en-US" w:eastAsia="zh-CN"/>
        </w:rPr>
      </w:pPr>
      <w:r>
        <w:rPr>
          <w:rFonts w:hint="eastAsia" w:hAnsi="宋体"/>
          <w:lang w:val="en-US" w:eastAsia="zh-CN"/>
        </w:rPr>
        <w:t>[来源:GB/T 37932-2019，3.2]</w:t>
      </w:r>
    </w:p>
    <w:p>
      <w:pPr>
        <w:pStyle w:val="37"/>
        <w:spacing w:before="156" w:after="156"/>
        <w:rPr>
          <w:rFonts w:hint="eastAsia"/>
        </w:rPr>
      </w:pPr>
    </w:p>
    <w:p>
      <w:pPr>
        <w:pStyle w:val="31"/>
        <w:rPr>
          <w:rFonts w:hint="default" w:hAnsi="宋体" w:eastAsia="黑体"/>
          <w:lang w:val="en-US" w:eastAsia="zh-CN"/>
        </w:rPr>
      </w:pPr>
      <w:r>
        <w:rPr>
          <w:rFonts w:hint="eastAsia" w:ascii="黑体" w:hAnsi="黑体" w:eastAsia="黑体" w:cs="黑体"/>
          <w:lang w:val="en-US" w:eastAsia="zh-CN"/>
        </w:rPr>
        <w:t>数据需方</w:t>
      </w:r>
      <w:r>
        <w:rPr>
          <w:rFonts w:hint="eastAsia" w:ascii="黑体" w:hAnsi="黑体" w:eastAsia="黑体" w:cs="黑体"/>
        </w:rPr>
        <w:t>　</w:t>
      </w:r>
      <w:r>
        <w:rPr>
          <w:rFonts w:hint="eastAsia" w:ascii="黑体" w:hAnsi="黑体" w:eastAsia="黑体" w:cs="黑体"/>
          <w:lang w:val="en-US" w:eastAsia="zh-CN"/>
        </w:rPr>
        <w:t>data acquirer</w:t>
      </w:r>
    </w:p>
    <w:p>
      <w:pPr>
        <w:pStyle w:val="31"/>
        <w:rPr>
          <w:rFonts w:hint="default"/>
          <w:lang w:val="en-US" w:eastAsia="zh-CN"/>
        </w:rPr>
      </w:pPr>
      <w:r>
        <w:rPr>
          <w:rFonts w:hint="eastAsia"/>
          <w:lang w:val="en-US" w:eastAsia="zh-CN"/>
        </w:rPr>
        <w:t>数据交易中购买和使用数据的组织机构</w:t>
      </w:r>
      <w:r>
        <w:rPr>
          <w:rFonts w:hint="default"/>
          <w:lang w:val="en-US" w:eastAsia="zh-CN"/>
        </w:rPr>
        <w:t>。</w:t>
      </w:r>
    </w:p>
    <w:p>
      <w:pPr>
        <w:pStyle w:val="31"/>
        <w:rPr>
          <w:rFonts w:hint="eastAsia" w:hAnsi="宋体"/>
          <w:lang w:val="en-US" w:eastAsia="zh-CN"/>
        </w:rPr>
      </w:pPr>
      <w:r>
        <w:rPr>
          <w:rFonts w:hint="eastAsia" w:hAnsi="宋体"/>
          <w:lang w:val="en-US" w:eastAsia="zh-CN"/>
        </w:rPr>
        <w:t>[来源:GB/T 37932-2019，3.3]</w:t>
      </w:r>
    </w:p>
    <w:p>
      <w:pPr>
        <w:pStyle w:val="37"/>
        <w:spacing w:before="156" w:after="156"/>
        <w:rPr>
          <w:rFonts w:hint="eastAsia"/>
          <w:lang w:val="en-US" w:eastAsia="zh-CN"/>
        </w:rPr>
      </w:pPr>
    </w:p>
    <w:p>
      <w:pPr>
        <w:pStyle w:val="31"/>
        <w:rPr>
          <w:rFonts w:hint="eastAsia" w:hAnsi="宋体"/>
          <w:lang w:val="en-US" w:eastAsia="zh-CN"/>
        </w:rPr>
      </w:pPr>
      <w:r>
        <w:rPr>
          <w:rFonts w:hint="eastAsia" w:ascii="黑体" w:hAnsi="黑体" w:eastAsia="黑体" w:cs="黑体"/>
          <w:lang w:val="en-US" w:eastAsia="zh-CN"/>
        </w:rPr>
        <w:t>数据交易</w:t>
      </w:r>
      <w:r>
        <w:rPr>
          <w:rFonts w:hint="eastAsia" w:ascii="黑体" w:hAnsi="黑体" w:eastAsia="黑体" w:cs="黑体"/>
        </w:rPr>
        <w:t>　</w:t>
      </w:r>
      <w:r>
        <w:rPr>
          <w:rFonts w:hint="eastAsia" w:ascii="黑体" w:hAnsi="黑体" w:eastAsia="黑体" w:cs="黑体"/>
          <w:lang w:val="en-US" w:eastAsia="zh-CN"/>
        </w:rPr>
        <w:t>data transaction</w:t>
      </w:r>
    </w:p>
    <w:p>
      <w:pPr>
        <w:pStyle w:val="31"/>
        <w:rPr>
          <w:rFonts w:hint="default" w:hAnsi="宋体"/>
          <w:lang w:val="en-US" w:eastAsia="zh-CN"/>
        </w:rPr>
      </w:pPr>
      <w:r>
        <w:rPr>
          <w:rFonts w:hint="eastAsia" w:hAnsi="宋体"/>
          <w:lang w:val="en-US" w:eastAsia="zh-CN"/>
        </w:rPr>
        <w:t>数据供方和需方之间以数据商品作为交易对象，进行的以货币或货币等价物交换数据商品的行为。</w:t>
      </w:r>
    </w:p>
    <w:p>
      <w:pPr>
        <w:pStyle w:val="31"/>
        <w:keepNext w:val="0"/>
        <w:keepLines w:val="0"/>
        <w:pageBreakBefore w:val="0"/>
        <w:widowControl/>
        <w:kinsoku/>
        <w:wordWrap/>
        <w:overflowPunct/>
        <w:topLinePunct w:val="0"/>
        <w:autoSpaceDE w:val="0"/>
        <w:autoSpaceDN w:val="0"/>
        <w:bidi w:val="0"/>
        <w:adjustRightInd/>
        <w:snapToGrid/>
        <w:ind w:left="420" w:leftChars="200" w:firstLine="0" w:firstLineChars="0"/>
        <w:textAlignment w:val="auto"/>
        <w:rPr>
          <w:rFonts w:hint="default" w:hAnsi="宋体"/>
          <w:sz w:val="18"/>
          <w:szCs w:val="18"/>
          <w:lang w:val="en-US" w:eastAsia="zh-CN"/>
        </w:rPr>
      </w:pPr>
      <w:r>
        <w:rPr>
          <w:rFonts w:hint="eastAsia" w:ascii="黑体" w:hAnsi="黑体" w:eastAsia="黑体" w:cs="黑体"/>
          <w:sz w:val="18"/>
          <w:szCs w:val="18"/>
          <w:lang w:val="en-US" w:eastAsia="zh-CN"/>
        </w:rPr>
        <w:t>注1：</w:t>
      </w:r>
      <w:r>
        <w:rPr>
          <w:rFonts w:hint="eastAsia" w:hAnsi="宋体"/>
          <w:sz w:val="18"/>
          <w:szCs w:val="18"/>
          <w:lang w:val="en-US" w:eastAsia="zh-CN"/>
        </w:rPr>
        <w:t>数据商品包括用于交易的原始数据或加工处理后的数据衍生产品。</w:t>
      </w:r>
    </w:p>
    <w:p>
      <w:pPr>
        <w:pStyle w:val="31"/>
        <w:keepNext w:val="0"/>
        <w:keepLines w:val="0"/>
        <w:pageBreakBefore w:val="0"/>
        <w:widowControl/>
        <w:kinsoku/>
        <w:wordWrap/>
        <w:overflowPunct/>
        <w:topLinePunct w:val="0"/>
        <w:autoSpaceDE w:val="0"/>
        <w:autoSpaceDN w:val="0"/>
        <w:bidi w:val="0"/>
        <w:adjustRightInd/>
        <w:snapToGrid/>
        <w:ind w:left="870" w:leftChars="200" w:hanging="450" w:hangingChars="250"/>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注2：</w:t>
      </w:r>
      <w:r>
        <w:rPr>
          <w:rFonts w:hint="eastAsia" w:ascii="宋体" w:hAnsi="宋体" w:eastAsia="宋体" w:cs="宋体"/>
          <w:sz w:val="18"/>
          <w:szCs w:val="18"/>
          <w:lang w:val="en-US" w:eastAsia="zh-CN"/>
        </w:rPr>
        <w:t>数据交易包括以大数据或其衍生品作为数据商品的数据交易，也包括以传统数据或其衍生品作为数据商品的数据交易。</w:t>
      </w:r>
    </w:p>
    <w:p>
      <w:pPr>
        <w:pStyle w:val="31"/>
        <w:keepNext w:val="0"/>
        <w:keepLines w:val="0"/>
        <w:pageBreakBefore w:val="0"/>
        <w:widowControl/>
        <w:kinsoku/>
        <w:wordWrap/>
        <w:overflowPunct/>
        <w:topLinePunct w:val="0"/>
        <w:autoSpaceDE w:val="0"/>
        <w:autoSpaceDN w:val="0"/>
        <w:bidi w:val="0"/>
        <w:adjustRightInd/>
        <w:snapToGrid/>
        <w:ind w:left="840" w:leftChars="200" w:hanging="420" w:hangingChars="200"/>
        <w:textAlignment w:val="auto"/>
        <w:rPr>
          <w:rFonts w:hint="default" w:ascii="宋体" w:hAnsi="宋体" w:eastAsia="宋体" w:cs="宋体"/>
          <w:sz w:val="18"/>
          <w:szCs w:val="18"/>
          <w:lang w:val="en-US" w:eastAsia="zh-CN"/>
        </w:rPr>
      </w:pPr>
      <w:r>
        <w:rPr>
          <w:rFonts w:hint="eastAsia" w:hAnsi="宋体"/>
          <w:lang w:val="en-US" w:eastAsia="zh-CN"/>
        </w:rPr>
        <w:t>[来源:GB/T 37932-2019，3.1]</w:t>
      </w:r>
    </w:p>
    <w:p>
      <w:pPr>
        <w:pStyle w:val="37"/>
        <w:spacing w:before="156" w:after="156"/>
        <w:rPr>
          <w:rFonts w:hint="eastAsia"/>
          <w:lang w:eastAsia="zh-CN"/>
        </w:rPr>
      </w:pPr>
    </w:p>
    <w:p>
      <w:pPr>
        <w:pStyle w:val="31"/>
        <w:rPr>
          <w:rFonts w:hint="default" w:ascii="黑体" w:hAnsi="黑体" w:eastAsia="黑体" w:cs="黑体"/>
          <w:lang w:val="en-US" w:eastAsia="zh-CN"/>
        </w:rPr>
      </w:pPr>
      <w:r>
        <w:rPr>
          <w:rFonts w:hint="eastAsia" w:ascii="黑体" w:hAnsi="黑体" w:eastAsia="黑体" w:cs="黑体"/>
          <w:lang w:val="en-US" w:eastAsia="zh-CN"/>
        </w:rPr>
        <w:t>数据交易服务机构</w:t>
      </w:r>
      <w:r>
        <w:rPr>
          <w:rFonts w:hint="eastAsia" w:ascii="黑体" w:hAnsi="黑体" w:eastAsia="黑体" w:cs="黑体"/>
        </w:rPr>
        <w:t>　</w:t>
      </w:r>
      <w:r>
        <w:rPr>
          <w:rFonts w:hint="eastAsia" w:ascii="黑体" w:hAnsi="黑体" w:eastAsia="黑体" w:cs="黑体"/>
          <w:lang w:val="en-US" w:eastAsia="zh-CN"/>
        </w:rPr>
        <w:t>data transaction service</w:t>
      </w:r>
    </w:p>
    <w:p>
      <w:pPr>
        <w:pStyle w:val="31"/>
        <w:rPr>
          <w:rFonts w:hint="default" w:hAnsi="宋体"/>
          <w:lang w:val="en-US" w:eastAsia="zh-CN"/>
        </w:rPr>
      </w:pPr>
      <w:r>
        <w:rPr>
          <w:rFonts w:hint="eastAsia" w:hAnsi="宋体"/>
          <w:lang w:val="en-US" w:eastAsia="zh-CN"/>
        </w:rPr>
        <w:t>为数据供需双方提供数据交易服务的组织机构。</w:t>
      </w:r>
    </w:p>
    <w:p>
      <w:pPr>
        <w:pStyle w:val="31"/>
        <w:keepNext w:val="0"/>
        <w:keepLines w:val="0"/>
        <w:pageBreakBefore w:val="0"/>
        <w:widowControl/>
        <w:kinsoku/>
        <w:wordWrap/>
        <w:overflowPunct/>
        <w:topLinePunct w:val="0"/>
        <w:autoSpaceDE/>
        <w:autoSpaceDN/>
        <w:bidi w:val="0"/>
        <w:adjustRightInd/>
        <w:snapToGrid/>
        <w:textAlignment w:val="auto"/>
        <w:rPr>
          <w:rFonts w:hint="eastAsia" w:hAnsi="宋体"/>
          <w:lang w:val="en-US" w:eastAsia="zh-CN"/>
        </w:rPr>
      </w:pPr>
      <w:r>
        <w:rPr>
          <w:rFonts w:hint="eastAsia" w:hAnsi="宋体"/>
          <w:lang w:val="en-US" w:eastAsia="zh-CN"/>
        </w:rPr>
        <w:t>[来源:GB/T 37932-2019，3.4]</w:t>
      </w:r>
    </w:p>
    <w:p>
      <w:pPr>
        <w:pStyle w:val="37"/>
        <w:spacing w:before="156" w:after="156"/>
        <w:rPr>
          <w:rFonts w:hint="eastAsia"/>
          <w:lang w:val="en-US" w:eastAsia="zh-CN"/>
        </w:rPr>
      </w:pPr>
    </w:p>
    <w:p>
      <w:pPr>
        <w:pStyle w:val="31"/>
        <w:rPr>
          <w:rFonts w:hint="default" w:hAnsi="宋体" w:eastAsia="黑体"/>
          <w:lang w:val="en-US" w:eastAsia="zh-CN"/>
        </w:rPr>
      </w:pPr>
      <w:r>
        <w:rPr>
          <w:rFonts w:hint="eastAsia" w:ascii="黑体" w:hAnsi="黑体" w:eastAsia="黑体" w:cs="黑体"/>
          <w:lang w:val="en-US" w:eastAsia="zh-CN"/>
        </w:rPr>
        <w:t>匿名化</w:t>
      </w:r>
      <w:r>
        <w:rPr>
          <w:rFonts w:hint="eastAsia" w:ascii="黑体" w:hAnsi="黑体" w:eastAsia="黑体" w:cs="黑体"/>
        </w:rPr>
        <w:t>　</w:t>
      </w:r>
      <w:r>
        <w:rPr>
          <w:rFonts w:hint="eastAsia" w:ascii="黑体" w:hAnsi="黑体" w:eastAsia="黑体" w:cs="黑体"/>
          <w:lang w:val="en-US" w:eastAsia="zh-CN"/>
        </w:rPr>
        <w:t>anonymization</w:t>
      </w:r>
    </w:p>
    <w:p>
      <w:pPr>
        <w:pStyle w:val="31"/>
        <w:rPr>
          <w:rFonts w:hint="default" w:hAnsi="宋体"/>
          <w:lang w:val="en-US" w:eastAsia="zh-CN"/>
        </w:rPr>
      </w:pPr>
      <w:r>
        <w:rPr>
          <w:rFonts w:hint="eastAsia" w:hAnsi="宋体"/>
          <w:lang w:val="en-US" w:eastAsia="zh-CN"/>
        </w:rPr>
        <w:t>个人信息经过处理无法识别特定自然人且不能复原的过程。</w:t>
      </w:r>
    </w:p>
    <w:p>
      <w:pPr>
        <w:pStyle w:val="31"/>
        <w:rPr>
          <w:rFonts w:hint="eastAsia" w:hAnsi="宋体"/>
          <w:lang w:val="en-US" w:eastAsia="zh-CN"/>
        </w:rPr>
      </w:pPr>
      <w:r>
        <w:rPr>
          <w:rFonts w:hint="eastAsia" w:hAnsi="宋体"/>
          <w:lang w:val="en-US" w:eastAsia="zh-CN"/>
        </w:rPr>
        <w:t>[来源:GB/T 41479-2022，3.13]</w:t>
      </w:r>
    </w:p>
    <w:p>
      <w:pPr>
        <w:pStyle w:val="37"/>
        <w:spacing w:before="156" w:after="156"/>
        <w:rPr>
          <w:rFonts w:hint="eastAsia"/>
          <w:lang w:val="en-US" w:eastAsia="zh-CN"/>
        </w:rPr>
      </w:pPr>
    </w:p>
    <w:p>
      <w:pPr>
        <w:pStyle w:val="31"/>
        <w:rPr>
          <w:rFonts w:hint="default" w:ascii="黑体" w:hAnsi="黑体" w:eastAsia="黑体" w:cs="黑体"/>
          <w:lang w:val="en-US" w:eastAsia="zh-CN"/>
        </w:rPr>
      </w:pPr>
      <w:r>
        <w:rPr>
          <w:rFonts w:hint="eastAsia" w:ascii="黑体" w:hAnsi="黑体" w:eastAsia="黑体" w:cs="黑体"/>
          <w:lang w:val="en-US" w:eastAsia="zh-CN"/>
        </w:rPr>
        <w:t>个人信息</w:t>
      </w:r>
      <w:r>
        <w:rPr>
          <w:rFonts w:hint="eastAsia" w:ascii="黑体" w:hAnsi="黑体" w:eastAsia="黑体" w:cs="黑体"/>
        </w:rPr>
        <w:t>　</w:t>
      </w:r>
      <w:r>
        <w:rPr>
          <w:rFonts w:hint="eastAsia" w:ascii="黑体" w:hAnsi="黑体" w:eastAsia="黑体" w:cs="黑体"/>
          <w:lang w:val="en-US" w:eastAsia="zh-CN"/>
        </w:rPr>
        <w:t>personal information</w:t>
      </w:r>
    </w:p>
    <w:p>
      <w:pPr>
        <w:pStyle w:val="31"/>
        <w:rPr>
          <w:rFonts w:hint="eastAsia" w:hAnsi="宋体"/>
          <w:lang w:val="en-US" w:eastAsia="zh-CN"/>
        </w:rPr>
      </w:pPr>
      <w:r>
        <w:rPr>
          <w:rFonts w:hint="eastAsia" w:hAnsi="宋体"/>
          <w:lang w:val="en-US" w:eastAsia="zh-CN"/>
        </w:rPr>
        <w:t>以电子或者其他方式记录的能够单独或者与其他信息结合识别特定自然人身份或者反映特定自然人活动情况的各种信息。</w:t>
      </w:r>
    </w:p>
    <w:p>
      <w:pPr>
        <w:pStyle w:val="31"/>
        <w:keepNext w:val="0"/>
        <w:keepLines w:val="0"/>
        <w:pageBreakBefore w:val="0"/>
        <w:widowControl/>
        <w:kinsoku/>
        <w:wordWrap/>
        <w:overflowPunct/>
        <w:topLinePunct w:val="0"/>
        <w:autoSpaceDE w:val="0"/>
        <w:autoSpaceDN w:val="0"/>
        <w:bidi w:val="0"/>
        <w:adjustRightInd/>
        <w:snapToGrid/>
        <w:ind w:left="870" w:leftChars="200" w:hanging="450" w:hangingChars="25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注1：</w:t>
      </w:r>
      <w:r>
        <w:rPr>
          <w:rFonts w:hint="eastAsia" w:ascii="宋体" w:hAnsi="宋体" w:eastAsia="宋体" w:cs="宋体"/>
          <w:sz w:val="18"/>
          <w:szCs w:val="18"/>
          <w:lang w:val="en-US" w:eastAsia="zh-CN"/>
        </w:rPr>
        <w:t>个人信息包括姓名、出生日期、身份证件号码、个人生物识别信息、住址、通信通讯联系方式、通信记录和内容账号密码、财产信息、征信信息、行踪轨迹、住宿信息、健康生理信息、交易信息等</w:t>
      </w:r>
      <w:r>
        <w:rPr>
          <w:rFonts w:hint="eastAsia" w:ascii="黑体" w:hAnsi="黑体" w:eastAsia="黑体" w:cs="黑体"/>
          <w:sz w:val="18"/>
          <w:szCs w:val="18"/>
          <w:lang w:val="en-US" w:eastAsia="zh-CN"/>
        </w:rPr>
        <w:t>。</w:t>
      </w:r>
    </w:p>
    <w:p>
      <w:pPr>
        <w:pStyle w:val="31"/>
        <w:keepNext w:val="0"/>
        <w:keepLines w:val="0"/>
        <w:pageBreakBefore w:val="0"/>
        <w:widowControl/>
        <w:kinsoku/>
        <w:wordWrap/>
        <w:overflowPunct/>
        <w:topLinePunct w:val="0"/>
        <w:autoSpaceDE w:val="0"/>
        <w:autoSpaceDN w:val="0"/>
        <w:bidi w:val="0"/>
        <w:adjustRightInd/>
        <w:snapToGrid/>
        <w:ind w:left="870" w:leftChars="200" w:hanging="450" w:hangingChars="25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注2：</w:t>
      </w:r>
      <w:r>
        <w:rPr>
          <w:rFonts w:hint="eastAsia" w:ascii="宋体" w:hAnsi="宋体" w:eastAsia="宋体" w:cs="宋体"/>
          <w:sz w:val="18"/>
          <w:szCs w:val="18"/>
          <w:lang w:val="en-US" w:eastAsia="zh-CN"/>
        </w:rPr>
        <w:t>个人信息控制者通过个人信息或其他信息加工处理后形成的信息，例如,用户画像或特征标签,能够单独或者与其他信息结合识别特定自然人身份或者反映特定自然人活动情况的,属于个人信息</w:t>
      </w:r>
      <w:r>
        <w:rPr>
          <w:rFonts w:hint="eastAsia" w:ascii="黑体" w:hAnsi="黑体" w:eastAsia="黑体" w:cs="黑体"/>
          <w:sz w:val="18"/>
          <w:szCs w:val="18"/>
          <w:lang w:val="en-US" w:eastAsia="zh-CN"/>
        </w:rPr>
        <w:t>。</w:t>
      </w:r>
    </w:p>
    <w:p>
      <w:pPr>
        <w:pStyle w:val="31"/>
        <w:keepNext w:val="0"/>
        <w:keepLines w:val="0"/>
        <w:pageBreakBefore w:val="0"/>
        <w:widowControl/>
        <w:kinsoku/>
        <w:wordWrap/>
        <w:overflowPunct/>
        <w:topLinePunct w:val="0"/>
        <w:autoSpaceDE w:val="0"/>
        <w:autoSpaceDN w:val="0"/>
        <w:bidi w:val="0"/>
        <w:adjustRightInd/>
        <w:snapToGrid/>
        <w:ind w:left="840" w:leftChars="200" w:hanging="420" w:hangingChars="200"/>
        <w:textAlignment w:val="auto"/>
        <w:rPr>
          <w:rFonts w:hint="default" w:hAnsi="宋体" w:cs="宋体"/>
          <w:sz w:val="18"/>
          <w:szCs w:val="18"/>
          <w:lang w:val="en-US" w:eastAsia="zh-CN"/>
        </w:rPr>
      </w:pPr>
      <w:r>
        <w:rPr>
          <w:rFonts w:hint="eastAsia" w:hAnsi="宋体"/>
          <w:lang w:val="en-US" w:eastAsia="zh-CN"/>
        </w:rPr>
        <w:t>[来源:GB/T 35273-2020，3.1，有修改]</w:t>
      </w:r>
    </w:p>
    <w:p>
      <w:pPr>
        <w:pStyle w:val="37"/>
        <w:spacing w:before="156" w:after="156"/>
        <w:rPr>
          <w:rFonts w:hint="eastAsia"/>
          <w:lang w:val="en-US" w:eastAsia="zh-CN"/>
        </w:rPr>
      </w:pPr>
    </w:p>
    <w:p>
      <w:pPr>
        <w:pStyle w:val="31"/>
        <w:rPr>
          <w:rFonts w:hint="default" w:ascii="黑体" w:hAnsi="黑体" w:eastAsia="黑体" w:cs="黑体"/>
          <w:lang w:val="en-US" w:eastAsia="zh-CN"/>
        </w:rPr>
      </w:pPr>
      <w:r>
        <w:rPr>
          <w:rFonts w:hint="eastAsia" w:ascii="黑体" w:hAnsi="黑体" w:eastAsia="黑体" w:cs="黑体"/>
          <w:lang w:val="en-US" w:eastAsia="zh-CN"/>
        </w:rPr>
        <w:t>关键信息基础设施</w:t>
      </w:r>
      <w:r>
        <w:rPr>
          <w:rFonts w:hint="eastAsia" w:ascii="黑体" w:hAnsi="黑体" w:eastAsia="黑体" w:cs="黑体"/>
        </w:rPr>
        <w:t>　</w:t>
      </w:r>
      <w:r>
        <w:rPr>
          <w:rFonts w:hint="eastAsia" w:ascii="黑体" w:hAnsi="黑体" w:eastAsia="黑体" w:cs="黑体"/>
          <w:lang w:val="en-US" w:eastAsia="zh-CN"/>
        </w:rPr>
        <w:t>critical information infrastructure</w:t>
      </w:r>
    </w:p>
    <w:p>
      <w:pPr>
        <w:pStyle w:val="31"/>
        <w:rPr>
          <w:rFonts w:hint="eastAsia" w:hAnsi="宋体"/>
          <w:lang w:val="en-US" w:eastAsia="zh-CN"/>
        </w:rPr>
      </w:pPr>
      <w:r>
        <w:rPr>
          <w:rFonts w:hint="eastAsia" w:hAnsi="宋体"/>
          <w:lang w:val="en-US" w:eastAsia="zh-CN"/>
        </w:rPr>
        <w:t>公共通信和信息服务、能源、交通、水利、金融、公共服务、电子政务、国防科技工业等重要行业和领域,以及其他一旦遭到破坏、丧失功能或者数据泄露,可能严重危害国家安全、国计民生、公共利益的重要网络设施、信息系统等。</w:t>
      </w:r>
    </w:p>
    <w:p>
      <w:pPr>
        <w:pStyle w:val="31"/>
        <w:rPr>
          <w:rFonts w:hint="eastAsia" w:hAnsi="宋体"/>
          <w:lang w:val="en-US" w:eastAsia="zh-CN"/>
        </w:rPr>
      </w:pPr>
      <w:r>
        <w:rPr>
          <w:rFonts w:hint="eastAsia" w:hAnsi="宋体"/>
          <w:lang w:val="en-US" w:eastAsia="zh-CN"/>
        </w:rPr>
        <w:t>[来源:GB/T 39204-2022，3.1]</w:t>
      </w:r>
    </w:p>
    <w:p>
      <w:pPr>
        <w:pStyle w:val="36"/>
        <w:spacing w:before="312" w:after="312"/>
        <w:outlineLvl w:val="0"/>
        <w:rPr>
          <w:rFonts w:hint="eastAsia"/>
          <w:lang w:val="en-US" w:eastAsia="zh-CN"/>
        </w:rPr>
      </w:pPr>
      <w:bookmarkStart w:id="40" w:name="_Toc29177"/>
      <w:r>
        <w:rPr>
          <w:rFonts w:hint="eastAsia"/>
          <w:lang w:val="en-US" w:eastAsia="zh-CN"/>
        </w:rPr>
        <w:t>缩略语</w:t>
      </w:r>
      <w:bookmarkEnd w:id="40"/>
    </w:p>
    <w:p>
      <w:pPr>
        <w:pStyle w:val="31"/>
        <w:rPr>
          <w:rFonts w:hint="eastAsia" w:hAnsi="宋体"/>
          <w:lang w:val="en-US" w:eastAsia="zh-CN"/>
        </w:rPr>
      </w:pPr>
      <w:r>
        <w:rPr>
          <w:rFonts w:hint="eastAsia"/>
          <w:highlight w:val="none"/>
          <w:lang w:val="en-US" w:eastAsia="zh-CN"/>
        </w:rPr>
        <w:t>下列缩略语适用于本文件</w:t>
      </w:r>
      <w:r>
        <w:rPr>
          <w:rFonts w:hint="eastAsia" w:ascii="宋体" w:hAnsi="宋体"/>
          <w:highlight w:val="none"/>
          <w:lang w:val="en-US" w:eastAsia="zh-CN"/>
        </w:rPr>
        <w:t>：</w:t>
      </w:r>
    </w:p>
    <w:p>
      <w:pPr>
        <w:pStyle w:val="31"/>
        <w:rPr>
          <w:rFonts w:hint="default" w:hAnsi="宋体"/>
          <w:lang w:val="en-US" w:eastAsia="zh-CN"/>
        </w:rPr>
      </w:pPr>
      <w:r>
        <w:rPr>
          <w:rFonts w:hint="eastAsia" w:hAnsi="宋体"/>
          <w:lang w:val="en-US" w:eastAsia="zh-CN"/>
        </w:rPr>
        <w:t>API：应用程序接口（Application Programming Interface）</w:t>
      </w:r>
    </w:p>
    <w:p>
      <w:pPr>
        <w:pStyle w:val="31"/>
        <w:rPr>
          <w:rFonts w:hint="default" w:hAnsi="宋体"/>
          <w:lang w:val="en-US" w:eastAsia="zh-CN"/>
        </w:rPr>
      </w:pPr>
      <w:r>
        <w:rPr>
          <w:rFonts w:hint="eastAsia" w:hAnsi="宋体"/>
          <w:lang w:val="en-US" w:eastAsia="zh-CN"/>
        </w:rPr>
        <w:t>SDK</w:t>
      </w:r>
      <w:r>
        <w:rPr>
          <w:rFonts w:hint="eastAsia" w:ascii="宋体" w:hAnsi="宋体" w:cs="宋体"/>
          <w:color w:val="auto"/>
          <w:highlight w:val="none"/>
          <w:lang w:val="en-US" w:eastAsia="zh-CN"/>
        </w:rPr>
        <w:t>：</w:t>
      </w:r>
      <w:r>
        <w:rPr>
          <w:rFonts w:hint="eastAsia" w:hAnsi="宋体"/>
          <w:lang w:val="en-US" w:eastAsia="zh-CN"/>
        </w:rPr>
        <w:t>软件开发工具包（Software Development Kit）</w:t>
      </w:r>
    </w:p>
    <w:p>
      <w:pPr>
        <w:pStyle w:val="36"/>
        <w:spacing w:before="312" w:after="312"/>
        <w:outlineLvl w:val="0"/>
        <w:rPr>
          <w:rFonts w:hint="default"/>
          <w:lang w:val="en-US" w:eastAsia="zh-CN"/>
        </w:rPr>
      </w:pPr>
      <w:bookmarkStart w:id="41" w:name="_Toc15175"/>
      <w:r>
        <w:rPr>
          <w:rFonts w:hint="eastAsia"/>
          <w:lang w:val="en-US" w:eastAsia="zh-CN"/>
        </w:rPr>
        <w:t>数据供方合规检查</w:t>
      </w:r>
      <w:bookmarkEnd w:id="41"/>
    </w:p>
    <w:p>
      <w:pPr>
        <w:pStyle w:val="37"/>
        <w:spacing w:before="156" w:after="156"/>
        <w:outlineLvl w:val="1"/>
        <w:rPr>
          <w:rFonts w:hint="default"/>
          <w:lang w:val="en-US" w:eastAsia="zh-CN"/>
        </w:rPr>
      </w:pPr>
      <w:bookmarkStart w:id="42" w:name="_Toc10361"/>
      <w:r>
        <w:rPr>
          <w:rFonts w:hint="eastAsia"/>
          <w:lang w:val="en-US" w:eastAsia="zh-CN"/>
        </w:rPr>
        <w:t>业务资质检查</w:t>
      </w:r>
      <w:bookmarkEnd w:id="42"/>
    </w:p>
    <w:p>
      <w:pPr>
        <w:pStyle w:val="31"/>
        <w:rPr>
          <w:rFonts w:hint="eastAsia" w:hAnsi="宋体"/>
          <w:lang w:val="en-US" w:eastAsia="zh-CN"/>
        </w:rPr>
      </w:pPr>
      <w:r>
        <w:rPr>
          <w:rFonts w:hint="eastAsia" w:hAnsi="宋体"/>
          <w:lang w:val="en-US" w:eastAsia="zh-CN"/>
        </w:rPr>
        <w:t>应根据数据供方的经营范围、具体业务模式和数据产品类别等，对数据供方取得的行政许可及相关证照的完备性、运营主体的一致性、授权范围与实际数据处理相关活动的匹配性以及质量管理体系的健全性进行检查。</w:t>
      </w:r>
    </w:p>
    <w:p>
      <w:pPr>
        <w:pStyle w:val="37"/>
        <w:spacing w:before="156" w:after="156"/>
        <w:outlineLvl w:val="1"/>
        <w:rPr>
          <w:rFonts w:hint="default"/>
          <w:lang w:val="en-US" w:eastAsia="zh-CN"/>
        </w:rPr>
      </w:pPr>
      <w:bookmarkStart w:id="43" w:name="_Toc13375"/>
      <w:r>
        <w:rPr>
          <w:rFonts w:hint="eastAsia"/>
          <w:lang w:val="en-US" w:eastAsia="zh-CN"/>
        </w:rPr>
        <w:t>网络安全等级保护检查</w:t>
      </w:r>
      <w:bookmarkEnd w:id="43"/>
    </w:p>
    <w:p>
      <w:pPr>
        <w:pStyle w:val="31"/>
        <w:rPr>
          <w:rFonts w:hint="default" w:hAnsi="宋体"/>
          <w:lang w:val="en-US" w:eastAsia="zh-CN"/>
        </w:rPr>
      </w:pPr>
      <w:r>
        <w:rPr>
          <w:rFonts w:hint="eastAsia" w:hAnsi="宋体"/>
          <w:lang w:val="en-US" w:eastAsia="zh-CN"/>
        </w:rPr>
        <w:t>应对数据供方实施网络安全等级保护的情况进行检查，检查要求如下：</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按照GB/T 22240</w:t>
      </w:r>
      <w:r>
        <w:rPr>
          <w:rFonts w:hint="eastAsia" w:ascii="宋体" w:hAnsi="宋体" w:cs="宋体"/>
          <w:highlight w:val="none"/>
          <w:lang w:val="en-US" w:eastAsia="zh-CN"/>
        </w:rPr>
        <w:t>-2020</w:t>
      </w:r>
      <w:r>
        <w:rPr>
          <w:rFonts w:hint="eastAsia" w:ascii="宋体" w:hAnsi="宋体" w:cs="宋体"/>
          <w:lang w:val="en-US" w:eastAsia="zh-CN"/>
        </w:rPr>
        <w:t>的要求对数据提供者的网络安全保护等级定级结果进行复核；</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对确定为二级及以上的网络信息系统，检查定级备案情况、测评的频率；</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对确定为三级及以上的网络信息系统、关键信息基础设施，检查是否每年至少开展一次密码评估工作的情况；</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处理重要数据的网络信息系统应满足三级及以上网络安全等级保护要求，处理核心数据的网络信息系统应依据有关要求从严保护；</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必要时，对网络信息系统安全保护措施和测评整改符合要求的情况进行核查；</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如涉及关键信息基础设施，应按GB/T 39204-2022的相关要求进行检查。</w:t>
      </w:r>
    </w:p>
    <w:p>
      <w:pPr>
        <w:pStyle w:val="37"/>
        <w:spacing w:before="156" w:after="156"/>
        <w:outlineLvl w:val="1"/>
        <w:rPr>
          <w:rFonts w:hint="default"/>
          <w:lang w:val="en-US" w:eastAsia="zh-CN"/>
        </w:rPr>
      </w:pPr>
      <w:bookmarkStart w:id="44" w:name="_Toc19146"/>
      <w:r>
        <w:rPr>
          <w:rFonts w:hint="eastAsia"/>
          <w:lang w:val="en-US" w:eastAsia="zh-CN"/>
        </w:rPr>
        <w:t>委托处理数据情形的检查</w:t>
      </w:r>
      <w:bookmarkEnd w:id="44"/>
    </w:p>
    <w:p>
      <w:pPr>
        <w:pStyle w:val="31"/>
        <w:rPr>
          <w:rFonts w:hint="default" w:hAnsi="宋体"/>
          <w:lang w:val="en-US" w:eastAsia="zh-CN"/>
        </w:rPr>
      </w:pPr>
      <w:r>
        <w:rPr>
          <w:rFonts w:hint="eastAsia" w:hAnsi="宋体"/>
          <w:lang w:val="en-US" w:eastAsia="zh-CN"/>
        </w:rPr>
        <w:t>数据供方委托外部机构进行数据处理时，应检查以下内容：</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建立数据安全风险评估、个人信息安全影响评估以及内外部数据安全检查与评估制度的情况；</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对外部机构业务资质检查的相关记录，外部机构业务资质检查内容包括行政许可及相关证照的完备性、运营主体的一致性、授权范围与实际数据处理相关活动的匹配性以及质量管理体系的健全性；</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与外部机构签订的数据处理合同或协议的效力及内容，包括合同约定的履行数据安全要求、数据处理目的、处理期限、处理方式、信息种类、保护措施、处理地点、销毁、转委托处理、分享以及双方的权利和义务等；</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对外部机构数据处理过程的监督记录，包括履行数据安全保护义务情况、处理方式及处理地点的正确性、是否进行超出目的处理、处理后数据的删除和销毁情况等；</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涉及处理个人信息的，检查委托前进行个人信息安全影响评估的实施记录和记录保存情况，个人信息安全影响评估活动应依据GB/T 39335-2020开展。</w:t>
      </w:r>
    </w:p>
    <w:p>
      <w:pPr>
        <w:pStyle w:val="36"/>
        <w:spacing w:before="312" w:after="312"/>
        <w:outlineLvl w:val="0"/>
        <w:rPr>
          <w:rFonts w:hint="default"/>
          <w:lang w:val="en-US" w:eastAsia="zh-CN"/>
        </w:rPr>
      </w:pPr>
      <w:bookmarkStart w:id="45" w:name="_Toc32198"/>
      <w:r>
        <w:rPr>
          <w:rFonts w:hint="eastAsia"/>
          <w:lang w:val="en-US" w:eastAsia="zh-CN"/>
        </w:rPr>
        <w:t>数据来源合规检查</w:t>
      </w:r>
      <w:bookmarkEnd w:id="45"/>
    </w:p>
    <w:p>
      <w:pPr>
        <w:pStyle w:val="31"/>
        <w:rPr>
          <w:rFonts w:hint="default" w:hAnsi="宋体"/>
          <w:lang w:val="en-US" w:eastAsia="zh-CN"/>
        </w:rPr>
      </w:pPr>
      <w:r>
        <w:rPr>
          <w:rFonts w:hint="eastAsia" w:hAnsi="宋体"/>
          <w:lang w:val="en-US" w:eastAsia="zh-CN"/>
        </w:rPr>
        <w:t>数据来源包括公开数据收集、自行生产、间接获取和直接采集，各类型的数据来源合规检查内容如下。</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公开数据收集：针对公开数据收集合法性，从收集数据是否会侵犯其他主体的合法权益、收集方法和使用目的等方面进行检查。</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自行生产：检查数据分类分级制度及落实情况，检查不同数据等级的安全机制。</w:t>
      </w:r>
    </w:p>
    <w:p>
      <w:pPr>
        <w:pStyle w:val="31"/>
        <w:keepNext w:val="0"/>
        <w:keepLines w:val="0"/>
        <w:pageBreakBefore w:val="0"/>
        <w:widowControl/>
        <w:kinsoku/>
        <w:wordWrap/>
        <w:overflowPunct/>
        <w:topLinePunct w:val="0"/>
        <w:autoSpaceDE w:val="0"/>
        <w:autoSpaceDN w:val="0"/>
        <w:bidi w:val="0"/>
        <w:adjustRightInd/>
        <w:snapToGrid/>
        <w:ind w:left="780" w:leftChars="200" w:hanging="360" w:hangingChars="20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针对不同的数据类型，检查时要求提供的证明文件也是不同的，例如，针对生产数据，可能要求企业提供其生产的控制信息、工况状态、工艺参数、系统日志等，针对运营数据</w:t>
      </w:r>
      <w:r>
        <w:rPr>
          <w:rFonts w:hint="eastAsia" w:hAnsi="宋体" w:cs="宋体"/>
          <w:sz w:val="18"/>
          <w:szCs w:val="18"/>
          <w:lang w:val="en-US" w:eastAsia="zh-CN"/>
        </w:rPr>
        <w:t>及</w:t>
      </w:r>
      <w:r>
        <w:rPr>
          <w:rFonts w:hint="eastAsia" w:ascii="宋体" w:hAnsi="宋体" w:eastAsia="宋体" w:cs="宋体"/>
          <w:sz w:val="18"/>
          <w:szCs w:val="18"/>
          <w:lang w:val="en-US" w:eastAsia="zh-CN"/>
        </w:rPr>
        <w:t>管理数据，则要求企业提供设备信息、数据库模型、客户数据及运维日志等</w:t>
      </w:r>
      <w:r>
        <w:rPr>
          <w:rFonts w:hint="eastAsia" w:ascii="黑体" w:hAnsi="黑体" w:eastAsia="黑体" w:cs="黑体"/>
          <w:sz w:val="18"/>
          <w:szCs w:val="1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间接获取：检查采购协议或授权许可协议的真实性、合理性。</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直接采集：对于数据主体自主输入上传或同意采集的数据，应重点审查授权情况；对于以第三方组件方式采集数据的，除检查授权外，还需审查采集方是否对第三方组件具有完整的内控制度；对于采集水文、气候及地理测绘等客观世界数据，则应综合国家利益、所涉行业、采集方性质等多方因素综合检查来源合规。</w:t>
      </w:r>
    </w:p>
    <w:p>
      <w:pPr>
        <w:pStyle w:val="36"/>
        <w:spacing w:before="312" w:after="312"/>
        <w:outlineLvl w:val="0"/>
        <w:rPr>
          <w:rFonts w:hint="default"/>
          <w:lang w:val="en-US" w:eastAsia="zh-CN"/>
        </w:rPr>
      </w:pPr>
      <w:bookmarkStart w:id="46" w:name="_Toc21608"/>
      <w:r>
        <w:rPr>
          <w:rFonts w:hint="eastAsia"/>
          <w:lang w:val="en-US" w:eastAsia="zh-CN"/>
        </w:rPr>
        <w:t>交易数据合规检查</w:t>
      </w:r>
      <w:bookmarkEnd w:id="46"/>
    </w:p>
    <w:p>
      <w:pPr>
        <w:pStyle w:val="31"/>
        <w:rPr>
          <w:rFonts w:hint="default" w:hAnsi="宋体"/>
          <w:lang w:val="en-US" w:eastAsia="zh-CN"/>
        </w:rPr>
      </w:pPr>
      <w:r>
        <w:rPr>
          <w:rFonts w:hint="eastAsia" w:hAnsi="宋体"/>
          <w:lang w:val="en-US" w:eastAsia="zh-CN"/>
        </w:rPr>
        <w:t>交易数据合规检查内容如下：</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应检查交易数据是否包含GB/T 37932-2019中6.1列出的禁止交易数据；</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应检查交易数据的安全风险评估报告的全面性、真实性；</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应检查交易数据描述和样本的准确性、真实性；</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应检查交易数据的分类结果是否正确；</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交易数据为重要数据的，应检查是否已取得相关部门对于数据交易的同意或许可，应检查重要数据传输过程中是否采取校验技术、密码技术、安全传输通道或者安全传输协议等措施。</w:t>
      </w:r>
    </w:p>
    <w:p>
      <w:pPr>
        <w:pStyle w:val="36"/>
        <w:spacing w:before="312" w:after="312"/>
        <w:outlineLvl w:val="0"/>
        <w:rPr>
          <w:rFonts w:hint="default"/>
          <w:lang w:val="en-US" w:eastAsia="zh-CN"/>
        </w:rPr>
      </w:pPr>
      <w:bookmarkStart w:id="47" w:name="_Toc18288"/>
      <w:r>
        <w:rPr>
          <w:rFonts w:hint="eastAsia"/>
          <w:lang w:val="en-US" w:eastAsia="zh-CN"/>
        </w:rPr>
        <w:t>数据处理过程合规检查</w:t>
      </w:r>
      <w:bookmarkEnd w:id="47"/>
    </w:p>
    <w:p>
      <w:pPr>
        <w:pStyle w:val="37"/>
        <w:spacing w:before="156" w:after="156"/>
        <w:outlineLvl w:val="1"/>
        <w:rPr>
          <w:rFonts w:hint="default"/>
          <w:lang w:val="en-US" w:eastAsia="zh-CN"/>
        </w:rPr>
      </w:pPr>
      <w:bookmarkStart w:id="48" w:name="_Toc30845"/>
      <w:r>
        <w:rPr>
          <w:rFonts w:hint="eastAsia"/>
          <w:lang w:val="en-US" w:eastAsia="zh-CN"/>
        </w:rPr>
        <w:t>数据收集</w:t>
      </w:r>
      <w:bookmarkEnd w:id="48"/>
    </w:p>
    <w:p>
      <w:pPr>
        <w:pStyle w:val="31"/>
        <w:rPr>
          <w:rFonts w:hint="default" w:hAnsi="宋体"/>
          <w:lang w:val="en-US" w:eastAsia="zh-CN"/>
        </w:rPr>
      </w:pPr>
      <w:r>
        <w:rPr>
          <w:rFonts w:hint="eastAsia" w:hAnsi="宋体"/>
          <w:lang w:val="en-US" w:eastAsia="zh-CN"/>
        </w:rPr>
        <w:t>数据收集情况的检查内容包括：</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收集信息的合法性基础，包括相关资质、行政许可、授权等；</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个人信息的收集是否符合GB/T 35273-2020中第5章的要求；</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数据收集授权的展示时机、形式（明显、非默认同意）和内容的规范性；</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实际收集数据与隐私政策、用户协议等内容是否一致。</w:t>
      </w:r>
    </w:p>
    <w:p>
      <w:pPr>
        <w:pStyle w:val="37"/>
        <w:spacing w:before="156" w:after="156"/>
        <w:outlineLvl w:val="1"/>
        <w:rPr>
          <w:rFonts w:hint="default"/>
          <w:lang w:val="en-US" w:eastAsia="zh-CN"/>
        </w:rPr>
      </w:pPr>
      <w:bookmarkStart w:id="49" w:name="_Toc14876"/>
      <w:r>
        <w:rPr>
          <w:rFonts w:hint="eastAsia"/>
          <w:lang w:val="en-US" w:eastAsia="zh-CN"/>
        </w:rPr>
        <w:t>数据存储</w:t>
      </w:r>
      <w:bookmarkEnd w:id="49"/>
    </w:p>
    <w:p>
      <w:pPr>
        <w:pStyle w:val="31"/>
        <w:rPr>
          <w:rFonts w:hint="default" w:hAnsi="宋体"/>
          <w:lang w:val="en-US" w:eastAsia="zh-CN"/>
        </w:rPr>
      </w:pPr>
      <w:r>
        <w:rPr>
          <w:rFonts w:hint="eastAsia" w:hAnsi="宋体"/>
          <w:lang w:val="en-US" w:eastAsia="zh-CN"/>
        </w:rPr>
        <w:t>数据存储情况的检查内容包括：</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重要数据和个人信息的存储是否采取加密、访问控制和安全审计等安全措施；</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存储时间是否超过与重要数据和个人信息主体约定的存储期限或个人信息主体授权同意有效期；</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存储个人生物特征识别信息的,是否符合GB/T 35273-2020中6.3 b)和 c)的要求及生物特征识别信息保护相关国家标准要求；</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数据及其副本的存储地点是否符合数据本地化存储和数据跨境相关要求。</w:t>
      </w:r>
    </w:p>
    <w:p>
      <w:pPr>
        <w:pStyle w:val="37"/>
        <w:spacing w:before="156" w:after="156"/>
        <w:outlineLvl w:val="1"/>
        <w:rPr>
          <w:rFonts w:hint="default"/>
          <w:lang w:val="en-US" w:eastAsia="zh-CN"/>
        </w:rPr>
      </w:pPr>
      <w:bookmarkStart w:id="50" w:name="_Toc23899"/>
      <w:r>
        <w:rPr>
          <w:rFonts w:hint="eastAsia"/>
          <w:lang w:val="en-US" w:eastAsia="zh-CN"/>
        </w:rPr>
        <w:t>数据使用、加工</w:t>
      </w:r>
      <w:bookmarkEnd w:id="50"/>
    </w:p>
    <w:p>
      <w:pPr>
        <w:pStyle w:val="31"/>
        <w:rPr>
          <w:rFonts w:hint="eastAsia" w:hAnsi="宋体"/>
          <w:lang w:val="en-US" w:eastAsia="zh-CN"/>
        </w:rPr>
      </w:pPr>
      <w:r>
        <w:rPr>
          <w:rFonts w:hint="eastAsia" w:hAnsi="宋体"/>
          <w:lang w:val="en-US" w:eastAsia="zh-CN"/>
        </w:rPr>
        <w:t>数据使用、加工的检查内容包括：</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数据的使用和加工是否获得相关方的授权；</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数据实际使用、加工的方式和范围符合约定；</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是否涉及相关规定禁止的数据使用和加工，如未获得用户授权、用户已撤回同意、歧视性的营销策略、违反道德伦理等情况。</w:t>
      </w:r>
    </w:p>
    <w:p>
      <w:pPr>
        <w:pStyle w:val="37"/>
        <w:spacing w:before="156" w:after="156"/>
        <w:outlineLvl w:val="1"/>
        <w:rPr>
          <w:rFonts w:hint="default"/>
          <w:lang w:val="en-US" w:eastAsia="zh-CN"/>
        </w:rPr>
      </w:pPr>
      <w:bookmarkStart w:id="51" w:name="_Toc18426"/>
      <w:r>
        <w:rPr>
          <w:rFonts w:hint="eastAsia"/>
          <w:lang w:val="en-US" w:eastAsia="zh-CN"/>
        </w:rPr>
        <w:t>数据传输、提供</w:t>
      </w:r>
      <w:bookmarkEnd w:id="51"/>
    </w:p>
    <w:p>
      <w:pPr>
        <w:pStyle w:val="31"/>
        <w:rPr>
          <w:rFonts w:hint="default" w:hAnsi="宋体"/>
          <w:lang w:val="en-US" w:eastAsia="zh-CN"/>
        </w:rPr>
      </w:pPr>
      <w:r>
        <w:rPr>
          <w:rFonts w:hint="eastAsia" w:hAnsi="宋体"/>
          <w:lang w:val="en-US" w:eastAsia="zh-CN"/>
        </w:rPr>
        <w:t>数据传输、提供的检查内容包括：</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数据传输是否符合GB/T 41479-2022中5.6的要求；</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数据提供是否符合GB/T 41479-2022中5.7的要求；</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涉及第三方SDK组件或API接口的，检查是否对SDK组件或API接口进行安全检测，是否存在已知的安全漏洞和可能引起数据泄露或未授权的数据出境行为。</w:t>
      </w:r>
    </w:p>
    <w:p>
      <w:pPr>
        <w:pStyle w:val="37"/>
        <w:spacing w:before="156" w:after="156"/>
        <w:outlineLvl w:val="1"/>
        <w:rPr>
          <w:rFonts w:hint="default"/>
          <w:lang w:val="en-US" w:eastAsia="zh-CN"/>
        </w:rPr>
      </w:pPr>
      <w:bookmarkStart w:id="52" w:name="_Toc9461"/>
      <w:r>
        <w:rPr>
          <w:rFonts w:hint="eastAsia"/>
          <w:lang w:val="en-US" w:eastAsia="zh-CN"/>
        </w:rPr>
        <w:t>数据公开</w:t>
      </w:r>
      <w:bookmarkEnd w:id="52"/>
    </w:p>
    <w:p>
      <w:pPr>
        <w:pStyle w:val="31"/>
        <w:rPr>
          <w:rFonts w:hint="default" w:hAnsi="宋体"/>
          <w:lang w:val="en-US" w:eastAsia="zh-CN"/>
        </w:rPr>
      </w:pPr>
      <w:r>
        <w:rPr>
          <w:rFonts w:hint="eastAsia" w:hAnsi="宋体"/>
          <w:lang w:val="en-US" w:eastAsia="zh-CN"/>
        </w:rPr>
        <w:t>数据公开的检查内容包括：</w:t>
      </w:r>
    </w:p>
    <w:p>
      <w:pPr>
        <w:keepNext w:val="0"/>
        <w:keepLines w:val="0"/>
        <w:pageBreakBefore w:val="0"/>
        <w:widowControl w:val="0"/>
        <w:numPr>
          <w:ilvl w:val="0"/>
          <w:numId w:val="1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数据公开是否会危害国家安全、公共安全、经济安全和社会稳定；</w:t>
      </w:r>
    </w:p>
    <w:p>
      <w:pPr>
        <w:keepNext w:val="0"/>
        <w:keepLines w:val="0"/>
        <w:pageBreakBefore w:val="0"/>
        <w:widowControl w:val="0"/>
        <w:numPr>
          <w:ilvl w:val="0"/>
          <w:numId w:val="1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数据公开行为和内容是否取得了相关单位的许可和授权；</w:t>
      </w:r>
    </w:p>
    <w:p>
      <w:pPr>
        <w:keepNext w:val="0"/>
        <w:keepLines w:val="0"/>
        <w:pageBreakBefore w:val="0"/>
        <w:widowControl w:val="0"/>
        <w:numPr>
          <w:ilvl w:val="0"/>
          <w:numId w:val="1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公开对个人权益有重大影响的个人信息，是否已取得个人同意。</w:t>
      </w:r>
    </w:p>
    <w:p>
      <w:pPr>
        <w:pStyle w:val="37"/>
        <w:spacing w:before="156" w:after="156"/>
        <w:outlineLvl w:val="1"/>
        <w:rPr>
          <w:rFonts w:hint="default"/>
          <w:lang w:val="en-US" w:eastAsia="zh-CN"/>
        </w:rPr>
      </w:pPr>
      <w:bookmarkStart w:id="53" w:name="_Toc10673"/>
      <w:r>
        <w:rPr>
          <w:rFonts w:hint="eastAsia"/>
          <w:lang w:val="en-US" w:eastAsia="zh-CN"/>
        </w:rPr>
        <w:t>数据删除、匿名化</w:t>
      </w:r>
      <w:bookmarkEnd w:id="53"/>
    </w:p>
    <w:p>
      <w:pPr>
        <w:pStyle w:val="31"/>
        <w:rPr>
          <w:rFonts w:hint="default" w:hAnsi="宋体"/>
          <w:lang w:val="en-US" w:eastAsia="zh-CN"/>
        </w:rPr>
      </w:pPr>
      <w:r>
        <w:rPr>
          <w:rFonts w:hint="eastAsia" w:hAnsi="宋体"/>
          <w:lang w:val="en-US" w:eastAsia="zh-CN"/>
        </w:rPr>
        <w:t>删除、匿名化处理检查内容包括：</w:t>
      </w:r>
    </w:p>
    <w:p>
      <w:pPr>
        <w:keepNext w:val="0"/>
        <w:keepLines w:val="0"/>
        <w:pageBreakBefore w:val="0"/>
        <w:widowControl w:val="0"/>
        <w:numPr>
          <w:ilvl w:val="0"/>
          <w:numId w:val="1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删除、匿名化处理范围是否包括数据本身及其所有副本；</w:t>
      </w:r>
    </w:p>
    <w:p>
      <w:pPr>
        <w:keepNext w:val="0"/>
        <w:keepLines w:val="0"/>
        <w:pageBreakBefore w:val="0"/>
        <w:widowControl w:val="0"/>
        <w:numPr>
          <w:ilvl w:val="0"/>
          <w:numId w:val="13"/>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检查删除、匿名化处理是否符合GB/T 41479-2022中5.13、GB/T 35273-2020中8.3和8.5的要求。</w:t>
      </w:r>
    </w:p>
    <w:p>
      <w:pPr>
        <w:pStyle w:val="36"/>
        <w:spacing w:before="312" w:after="312"/>
        <w:outlineLvl w:val="0"/>
        <w:rPr>
          <w:rFonts w:hint="default"/>
          <w:lang w:val="en-US" w:eastAsia="zh-CN"/>
        </w:rPr>
      </w:pPr>
      <w:bookmarkStart w:id="54" w:name="_Toc12777"/>
      <w:r>
        <w:rPr>
          <w:rFonts w:hint="eastAsia"/>
          <w:lang w:val="en-US" w:eastAsia="zh-CN"/>
        </w:rPr>
        <w:t>可追溯检查</w:t>
      </w:r>
      <w:bookmarkEnd w:id="54"/>
    </w:p>
    <w:p>
      <w:pPr>
        <w:pStyle w:val="37"/>
        <w:spacing w:before="156" w:after="156"/>
        <w:outlineLvl w:val="1"/>
        <w:rPr>
          <w:rFonts w:hint="default"/>
          <w:lang w:val="en-US" w:eastAsia="zh-CN"/>
        </w:rPr>
      </w:pPr>
      <w:bookmarkStart w:id="55" w:name="_Toc22954"/>
      <w:r>
        <w:rPr>
          <w:rFonts w:hint="eastAsia"/>
          <w:lang w:val="en-US" w:eastAsia="zh-CN"/>
        </w:rPr>
        <w:t>文件检查</w:t>
      </w:r>
      <w:bookmarkEnd w:id="55"/>
    </w:p>
    <w:p>
      <w:pPr>
        <w:pStyle w:val="31"/>
        <w:rPr>
          <w:rFonts w:hint="eastAsia" w:hAnsi="宋体"/>
          <w:lang w:val="en-US" w:eastAsia="zh-CN"/>
        </w:rPr>
      </w:pPr>
      <w:r>
        <w:rPr>
          <w:rFonts w:hint="eastAsia" w:hAnsi="宋体"/>
          <w:lang w:val="en-US" w:eastAsia="zh-CN"/>
        </w:rPr>
        <w:t>应检查数据交易服务机构是否建立并留存以下文件：</w:t>
      </w:r>
    </w:p>
    <w:p>
      <w:pPr>
        <w:keepNext w:val="0"/>
        <w:keepLines w:val="0"/>
        <w:pageBreakBefore w:val="0"/>
        <w:widowControl w:val="0"/>
        <w:numPr>
          <w:ilvl w:val="0"/>
          <w:numId w:val="1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交易数据的来源介绍和证明文件；</w:t>
      </w:r>
    </w:p>
    <w:p>
      <w:pPr>
        <w:keepNext w:val="0"/>
        <w:keepLines w:val="0"/>
        <w:pageBreakBefore w:val="0"/>
        <w:widowControl w:val="0"/>
        <w:numPr>
          <w:ilvl w:val="0"/>
          <w:numId w:val="1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交易数据的处理记录、使用记录和审查记录；</w:t>
      </w:r>
    </w:p>
    <w:p>
      <w:pPr>
        <w:keepNext w:val="0"/>
        <w:keepLines w:val="0"/>
        <w:pageBreakBefore w:val="0"/>
        <w:widowControl w:val="0"/>
        <w:numPr>
          <w:ilvl w:val="0"/>
          <w:numId w:val="1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数据供方和数据需方的基本信息；</w:t>
      </w:r>
    </w:p>
    <w:p>
      <w:pPr>
        <w:keepNext w:val="0"/>
        <w:keepLines w:val="0"/>
        <w:pageBreakBefore w:val="0"/>
        <w:widowControl w:val="0"/>
        <w:numPr>
          <w:ilvl w:val="0"/>
          <w:numId w:val="1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交易过程的记录。</w:t>
      </w:r>
    </w:p>
    <w:p>
      <w:pPr>
        <w:pStyle w:val="37"/>
        <w:spacing w:before="156" w:after="156"/>
        <w:outlineLvl w:val="1"/>
        <w:rPr>
          <w:rFonts w:hint="default"/>
          <w:lang w:val="en-US" w:eastAsia="zh-CN"/>
        </w:rPr>
      </w:pPr>
      <w:bookmarkStart w:id="56" w:name="_Toc22044"/>
      <w:r>
        <w:rPr>
          <w:rFonts w:hint="eastAsia"/>
          <w:lang w:val="en-US" w:eastAsia="zh-CN"/>
        </w:rPr>
        <w:t>技术措施检查</w:t>
      </w:r>
      <w:bookmarkEnd w:id="56"/>
    </w:p>
    <w:p>
      <w:pPr>
        <w:pStyle w:val="31"/>
        <w:rPr>
          <w:rFonts w:hint="eastAsia" w:hAnsi="宋体"/>
          <w:lang w:val="en-US" w:eastAsia="zh-CN"/>
        </w:rPr>
      </w:pPr>
      <w:r>
        <w:rPr>
          <w:rFonts w:hint="eastAsia" w:hAnsi="宋体"/>
          <w:lang w:val="en-US" w:eastAsia="zh-CN"/>
        </w:rPr>
        <w:t>应检查是否采用区块链技术，将数据供方、数据需方身份信息，交易合同或协议，交易数据和交易过程等信息进行登记、备案。</w:t>
      </w:r>
    </w:p>
    <w:p>
      <w:pPr>
        <w:pStyle w:val="31"/>
        <w:rPr>
          <w:rFonts w:hint="default" w:hAnsi="宋体"/>
          <w:lang w:val="en-US" w:eastAsia="zh-CN"/>
        </w:rPr>
      </w:pPr>
      <w:r>
        <w:rPr>
          <w:rFonts w:hint="eastAsia" w:hAnsi="宋体"/>
          <w:lang w:val="en-US" w:eastAsia="zh-CN"/>
        </w:rPr>
        <w:t>应检查是否将交易数据简介、来源、用途等信息上链，是否对交易数据进行了一数一码唯一标识的处理。</w:t>
      </w:r>
    </w:p>
    <w:p>
      <w:pPr>
        <w:pStyle w:val="31"/>
        <w:rPr>
          <w:rFonts w:hint="default" w:hAnsi="宋体"/>
          <w:lang w:val="en-US" w:eastAsia="zh-CN"/>
        </w:rPr>
      </w:pPr>
      <w:r>
        <w:rPr>
          <w:rFonts w:hint="eastAsia" w:hAnsi="宋体"/>
          <w:lang w:val="en-US" w:eastAsia="zh-CN"/>
        </w:rPr>
        <w:t>应检查数据交易服务平台是否具备交易过程信息，数据供方、数据需方身份信息及交易数据等信息的交易溯源功能。</w:t>
      </w:r>
    </w:p>
    <w:p>
      <w:pPr>
        <w:pStyle w:val="37"/>
        <w:spacing w:before="156" w:after="156"/>
        <w:outlineLvl w:val="1"/>
        <w:rPr>
          <w:rFonts w:hint="default"/>
          <w:lang w:val="en-US" w:eastAsia="zh-CN"/>
        </w:rPr>
      </w:pPr>
      <w:bookmarkStart w:id="57" w:name="_Toc9939"/>
      <w:r>
        <w:rPr>
          <w:rFonts w:hint="eastAsia"/>
          <w:lang w:val="en-US" w:eastAsia="zh-CN"/>
        </w:rPr>
        <w:t>数据登记</w:t>
      </w:r>
      <w:bookmarkEnd w:id="57"/>
    </w:p>
    <w:p>
      <w:pPr>
        <w:pStyle w:val="38"/>
        <w:rPr>
          <w:rFonts w:hint="default"/>
          <w:lang w:val="en-US" w:eastAsia="zh-CN"/>
        </w:rPr>
      </w:pPr>
      <w:r>
        <w:rPr>
          <w:rFonts w:hint="eastAsia"/>
          <w:lang w:val="en-US" w:eastAsia="zh-CN"/>
        </w:rPr>
        <w:t>基本原则</w:t>
      </w:r>
    </w:p>
    <w:p>
      <w:pPr>
        <w:pStyle w:val="31"/>
        <w:rPr>
          <w:rFonts w:hint="eastAsia" w:hAnsi="宋体"/>
          <w:lang w:val="en-US" w:eastAsia="zh-CN"/>
        </w:rPr>
      </w:pPr>
      <w:r>
        <w:rPr>
          <w:rFonts w:hint="eastAsia" w:hAnsi="宋体"/>
          <w:lang w:val="en-US" w:eastAsia="zh-CN"/>
        </w:rPr>
        <w:t>为保证数据交易可追溯，数据交易服务机构宜建立数据确权登记、数据权利对抗登记和数据交易存证登记等数据登记制度，但建立并落实登记制度不是数据交易的必要条件。</w:t>
      </w:r>
    </w:p>
    <w:p>
      <w:pPr>
        <w:pStyle w:val="38"/>
        <w:rPr>
          <w:rFonts w:hint="default"/>
          <w:lang w:val="en-US" w:eastAsia="zh-CN"/>
        </w:rPr>
      </w:pPr>
      <w:r>
        <w:rPr>
          <w:rFonts w:hint="eastAsia"/>
          <w:lang w:val="en-US" w:eastAsia="zh-CN"/>
        </w:rPr>
        <w:t>数据确权登记</w:t>
      </w:r>
    </w:p>
    <w:p>
      <w:pPr>
        <w:pStyle w:val="31"/>
        <w:rPr>
          <w:rFonts w:hint="eastAsia" w:hAnsi="宋体"/>
          <w:lang w:val="en-US" w:eastAsia="zh-CN"/>
        </w:rPr>
      </w:pPr>
      <w:r>
        <w:rPr>
          <w:rFonts w:hint="eastAsia" w:hAnsi="宋体"/>
          <w:lang w:val="en-US" w:eastAsia="zh-CN"/>
        </w:rPr>
        <w:t>数据确权登记是针对权利归属情况清晰、产权主体单一的数据进行的登记，如在不涉及数据安全问题的情况下，对企业自行收集的实验数据、测绘数据进行的初始权利登记，其目的在于通过严格审查程序明确数据初始产权。</w:t>
      </w:r>
    </w:p>
    <w:p>
      <w:pPr>
        <w:pStyle w:val="38"/>
        <w:rPr>
          <w:rFonts w:hint="default"/>
          <w:lang w:val="en-US" w:eastAsia="zh-CN"/>
        </w:rPr>
      </w:pPr>
      <w:r>
        <w:rPr>
          <w:rFonts w:hint="eastAsia"/>
          <w:lang w:val="en-US" w:eastAsia="zh-CN"/>
        </w:rPr>
        <w:t>数据权利对抗登记</w:t>
      </w:r>
    </w:p>
    <w:p>
      <w:pPr>
        <w:pStyle w:val="31"/>
        <w:rPr>
          <w:rFonts w:hint="eastAsia" w:hAnsi="宋体"/>
          <w:lang w:val="en-US" w:eastAsia="zh-CN"/>
        </w:rPr>
      </w:pPr>
      <w:r>
        <w:rPr>
          <w:rFonts w:hint="eastAsia" w:hAnsi="宋体"/>
          <w:lang w:val="en-US" w:eastAsia="zh-CN"/>
        </w:rPr>
        <w:t>数据权利对抗登记是对数据整体转让和排他许可使用进行的登记，登记产生对抗第三方的法律效力。数据权利对抗登记的目的在于通过对数据权利主体、使用权限和转让过程的记载，明确数据供方处理数据权限、数据需方使用数据的范围。</w:t>
      </w:r>
    </w:p>
    <w:p>
      <w:pPr>
        <w:pStyle w:val="38"/>
        <w:rPr>
          <w:rFonts w:hint="default"/>
          <w:lang w:val="en-US" w:eastAsia="zh-CN"/>
        </w:rPr>
      </w:pPr>
      <w:r>
        <w:rPr>
          <w:rFonts w:hint="eastAsia"/>
          <w:lang w:val="en-US" w:eastAsia="zh-CN"/>
        </w:rPr>
        <w:t>数据交易存证登记</w:t>
      </w:r>
    </w:p>
    <w:p>
      <w:pPr>
        <w:pStyle w:val="31"/>
        <w:rPr>
          <w:rFonts w:hint="eastAsia" w:hAnsi="宋体"/>
          <w:lang w:val="en-US" w:eastAsia="zh-CN"/>
        </w:rPr>
      </w:pPr>
      <w:r>
        <w:rPr>
          <w:rFonts w:hint="eastAsia" w:hAnsi="宋体"/>
          <w:lang w:val="en-US" w:eastAsia="zh-CN"/>
        </w:rPr>
        <w:t>数据交易存证登记是针对涉及普通许可使用或者数据服务场景下，数据交易历程的登记，登记对象为数据产品的普通许可使用和数据开发服务，其目的在于通过对历次交易核心内容的记录与公示，为交易溯源提供依据和证明。</w:t>
      </w:r>
    </w:p>
    <w:p>
      <w:pPr>
        <w:pStyle w:val="36"/>
        <w:spacing w:before="312" w:after="312"/>
        <w:outlineLvl w:val="0"/>
        <w:rPr>
          <w:rFonts w:hint="default"/>
          <w:lang w:val="en-US" w:eastAsia="zh-CN"/>
        </w:rPr>
      </w:pPr>
      <w:bookmarkStart w:id="58" w:name="_Toc16122"/>
      <w:r>
        <w:rPr>
          <w:rFonts w:hint="eastAsia"/>
          <w:lang w:val="en-US" w:eastAsia="zh-CN"/>
        </w:rPr>
        <w:t>数据出境合规</w:t>
      </w:r>
      <w:bookmarkEnd w:id="58"/>
    </w:p>
    <w:p>
      <w:pPr>
        <w:pStyle w:val="37"/>
        <w:spacing w:before="156" w:after="156"/>
        <w:outlineLvl w:val="1"/>
        <w:rPr>
          <w:rFonts w:hint="default"/>
          <w:lang w:val="en-US" w:eastAsia="zh-CN"/>
        </w:rPr>
      </w:pPr>
      <w:bookmarkStart w:id="59" w:name="_Toc594"/>
      <w:r>
        <w:rPr>
          <w:rFonts w:hint="eastAsia"/>
          <w:lang w:val="en-US" w:eastAsia="zh-CN"/>
        </w:rPr>
        <w:t>出境安全评估要求</w:t>
      </w:r>
      <w:bookmarkEnd w:id="59"/>
    </w:p>
    <w:p>
      <w:pPr>
        <w:pStyle w:val="31"/>
        <w:rPr>
          <w:rFonts w:hint="default" w:hAnsi="宋体"/>
          <w:lang w:val="en-US" w:eastAsia="zh-CN"/>
        </w:rPr>
      </w:pPr>
      <w:r>
        <w:rPr>
          <w:rFonts w:hint="eastAsia" w:hAnsi="宋体"/>
          <w:lang w:val="en-US" w:eastAsia="zh-CN"/>
        </w:rPr>
        <w:t>重要数据和个人信息在出境前，应由数据交易服务机构向数据出境安全相关主管部门提交数据出境安全评估申报，提出申报前，还需自行进行出境风险自评估。出境风险自评估应从以下几个角度进行。</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出境数据，包括规模、范围、种类、敏感程度和潜在风险；涉及个人数据的，向个人告知境外数据接收方的名称、联系方式、出境目的、出境方式、个人信息种类及个人向境外数据接收方行使权利的方式和程序等，并取得个人明示同意。</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数据出境行为，包括数据出境的目的、方式等是否合法，是否符合最小必要原则；关键信息基础设施的运营者在境内运营中收集和产生的个人信息和重要数据应当在境内存储。</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境外数据接收方当地的保护政策及保护水平是否满足我国相关政策、法规及标准化文件的要求。</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数据出境过程中及数据出境后，应检查数据安全和个人信息权益保护途径是否畅通有效；应检查使用境外的数据服务商和SDK组件可能引起的潜在的数据出境风险情况；</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与境外数据接收方拟订的合同、协议及相关的法律文件。合同中应至少约定数据出境的目的及方式、境外数据保存情况、境外数据再转移、不可抗力、其他违约或侵权事宜及其解决途径、方式。</w:t>
      </w:r>
    </w:p>
    <w:p>
      <w:pPr>
        <w:pStyle w:val="37"/>
        <w:spacing w:before="156" w:after="156"/>
        <w:outlineLvl w:val="1"/>
        <w:rPr>
          <w:rFonts w:hint="default"/>
          <w:lang w:val="en-US" w:eastAsia="zh-CN"/>
        </w:rPr>
      </w:pPr>
      <w:bookmarkStart w:id="60" w:name="_Toc21709"/>
      <w:r>
        <w:rPr>
          <w:rFonts w:hint="eastAsia"/>
          <w:lang w:val="en-US" w:eastAsia="zh-CN"/>
        </w:rPr>
        <w:t>数据出境合规检查</w:t>
      </w:r>
      <w:bookmarkEnd w:id="60"/>
    </w:p>
    <w:p>
      <w:pPr>
        <w:pStyle w:val="31"/>
        <w:rPr>
          <w:rFonts w:hint="default" w:hAnsi="宋体"/>
          <w:lang w:val="en-US" w:eastAsia="zh-CN"/>
        </w:rPr>
      </w:pPr>
      <w:r>
        <w:rPr>
          <w:rFonts w:hint="eastAsia" w:hAnsi="宋体"/>
          <w:lang w:val="en-US" w:eastAsia="zh-CN"/>
        </w:rPr>
        <w:t>数据出境合规检查内容包括：</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涉及个人信息的，是否向个人告知境外接收方的名称或者姓名、联系方式、出境目的、出境方式、个人信息的种类以及个人向境外接收方行使本文件规定权利的方式和程序等事项，并取得个人的明示同意；</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是否具有个人信息安全影响评估的责任部门或责任人员，是否自行开展或聘请外部独立第三方进行个人信息保护影响评估，个人信息保护影响评估报告和处理情况记录是否妥善保存；</w:t>
      </w:r>
    </w:p>
    <w:p>
      <w:pPr>
        <w:pStyle w:val="31"/>
        <w:keepNext w:val="0"/>
        <w:keepLines w:val="0"/>
        <w:pageBreakBefore w:val="0"/>
        <w:widowControl/>
        <w:kinsoku/>
        <w:wordWrap/>
        <w:overflowPunct/>
        <w:topLinePunct w:val="0"/>
        <w:autoSpaceDE w:val="0"/>
        <w:autoSpaceDN w:val="0"/>
        <w:bidi w:val="0"/>
        <w:adjustRightInd/>
        <w:snapToGrid/>
        <w:ind w:left="780" w:leftChars="200" w:hanging="360" w:hangingChars="20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个人信息安全影响评估活动应依据GB/T 39335-2020开展</w:t>
      </w:r>
      <w:r>
        <w:rPr>
          <w:rFonts w:hint="eastAsia" w:ascii="黑体" w:hAnsi="黑体" w:eastAsia="黑体" w:cs="黑体"/>
          <w:sz w:val="18"/>
          <w:szCs w:val="18"/>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是否与境外接收方订立合同，约定双方的权利和义务。合同中是否约定数据出境的目的及方式、境外数据保存情况、境外数据再转移、不可抗力以及其他违约或侵权事宜及其解决途径与方式；</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数据出境处理活动是否需要向相关管理机构申报数据出境安全评估，如需要申报，应开展数据出境风险自评估，并向相关管理机构申报数据出境安全评估；</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关键信息基础设施的运营者在中国境内运营中收集和产生的个人信息和重要数据是否在中国境内存储；</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出境数据是否包含相关管理机构认定的不得出境的数据；</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是否存在使用境外的服务供应商和第三方SDK组件可能引起的潜在的数据出境风险情况；</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是否建立并保存跨境传输相关的管理记录，包括传输发送方、接收方及所在区域、传输机制、信息类型、处理目的、合同条款、数据主体同意的相关记录。</w:t>
      </w:r>
    </w:p>
    <w:p>
      <w:pPr>
        <w:pStyle w:val="36"/>
        <w:spacing w:before="312" w:after="312"/>
        <w:outlineLvl w:val="0"/>
        <w:rPr>
          <w:rFonts w:hint="default"/>
          <w:lang w:val="en-US" w:eastAsia="zh-CN"/>
        </w:rPr>
      </w:pPr>
      <w:bookmarkStart w:id="61" w:name="_Toc2053"/>
      <w:r>
        <w:rPr>
          <w:rFonts w:hint="eastAsia"/>
          <w:lang w:val="en-US" w:eastAsia="zh-CN"/>
        </w:rPr>
        <w:t>征信场景下数据合规检查的特殊要求</w:t>
      </w:r>
      <w:bookmarkEnd w:id="61"/>
    </w:p>
    <w:p>
      <w:pPr>
        <w:pStyle w:val="37"/>
        <w:spacing w:before="156" w:after="156"/>
        <w:outlineLvl w:val="1"/>
        <w:rPr>
          <w:rFonts w:hint="default"/>
          <w:lang w:val="en-US" w:eastAsia="zh-CN"/>
        </w:rPr>
      </w:pPr>
      <w:bookmarkStart w:id="62" w:name="_Toc11730"/>
      <w:r>
        <w:rPr>
          <w:rFonts w:hint="eastAsia"/>
          <w:lang w:val="en-US" w:eastAsia="zh-CN"/>
        </w:rPr>
        <w:t>征信机构采集数据合规检查</w:t>
      </w:r>
      <w:bookmarkEnd w:id="62"/>
    </w:p>
    <w:p>
      <w:pPr>
        <w:pStyle w:val="31"/>
        <w:rPr>
          <w:rFonts w:hint="default" w:hAnsi="宋体"/>
          <w:lang w:val="en-US" w:eastAsia="zh-CN"/>
        </w:rPr>
      </w:pPr>
      <w:r>
        <w:rPr>
          <w:rFonts w:hint="eastAsia" w:hAnsi="宋体"/>
          <w:lang w:val="en-US" w:eastAsia="zh-CN"/>
        </w:rPr>
        <w:t>征信机构采集数据合规情况，应检查以下内容：</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征信机构是否对数据来源、数据质量、数据安全措施和数据主体授权等进行必要检查；</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采集的数据是否包含个人的宗教信仰、基因、指纹、血型、疾病和病史信息以及法律、行政法规规定禁止采集的其他个人信息；</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采集的数据是否包含个人的收入、存款、有价证券、商业保险,不动产的信息和纳税数额信息，如包含上述信息，是否明确告知信息主体提供该信息可能产生的不利后果，并取得其书面同意；</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征信机构是否与数据供方通过协议等形式明确信息采集的原则以及各自在获得数据主体同意、数据采集、加工处理、数据更正、异议处理和数据安全等方面的权利义务和责任。</w:t>
      </w:r>
    </w:p>
    <w:p>
      <w:pPr>
        <w:pStyle w:val="37"/>
        <w:spacing w:before="156" w:after="156"/>
        <w:outlineLvl w:val="1"/>
        <w:rPr>
          <w:rFonts w:hint="default"/>
          <w:lang w:val="en-US" w:eastAsia="zh-CN"/>
        </w:rPr>
      </w:pPr>
      <w:bookmarkStart w:id="63" w:name="_Toc32703"/>
      <w:r>
        <w:rPr>
          <w:rFonts w:hint="eastAsia"/>
          <w:lang w:val="en-US" w:eastAsia="zh-CN"/>
        </w:rPr>
        <w:t>征信机构提供数据合规检查</w:t>
      </w:r>
      <w:bookmarkEnd w:id="63"/>
    </w:p>
    <w:p>
      <w:pPr>
        <w:pStyle w:val="31"/>
        <w:rPr>
          <w:rFonts w:hint="default" w:hAnsi="宋体"/>
          <w:lang w:val="en-US" w:eastAsia="zh-CN"/>
        </w:rPr>
      </w:pPr>
      <w:r>
        <w:rPr>
          <w:rFonts w:hint="eastAsia" w:hAnsi="宋体"/>
          <w:lang w:val="en-US" w:eastAsia="zh-CN"/>
        </w:rPr>
        <w:t>征信机构提供数据合规情况，应检查以下内容：</w:t>
      </w:r>
    </w:p>
    <w:p>
      <w:pPr>
        <w:keepNext w:val="0"/>
        <w:keepLines w:val="0"/>
        <w:pageBreakBefore w:val="0"/>
        <w:widowControl w:val="0"/>
        <w:numPr>
          <w:ilvl w:val="0"/>
          <w:numId w:val="1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征信机构是否取得相关行政许可、是否已依法办理相关备案；</w:t>
      </w:r>
    </w:p>
    <w:p>
      <w:pPr>
        <w:keepNext w:val="0"/>
        <w:keepLines w:val="0"/>
        <w:pageBreakBefore w:val="0"/>
        <w:widowControl w:val="0"/>
        <w:numPr>
          <w:ilvl w:val="0"/>
          <w:numId w:val="1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征信机构采集个人信用信息的方式、方法，是否遵循最小必要的原则，是否存在过度采集情况；</w:t>
      </w:r>
    </w:p>
    <w:p>
      <w:pPr>
        <w:keepNext w:val="0"/>
        <w:keepLines w:val="0"/>
        <w:pageBreakBefore w:val="0"/>
        <w:widowControl w:val="0"/>
        <w:numPr>
          <w:ilvl w:val="0"/>
          <w:numId w:val="1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征信机构是否提供相应的证据或承诺表明已采取合理措施，保障提供数据的准确性，数据采集、存储和加工等过程中不存在篡改原始信息的情形。</w:t>
      </w:r>
    </w:p>
    <w:p>
      <w:pPr>
        <w:pStyle w:val="36"/>
        <w:spacing w:before="312" w:after="312"/>
        <w:outlineLvl w:val="0"/>
        <w:rPr>
          <w:rFonts w:hint="default"/>
          <w:lang w:val="en-US" w:eastAsia="zh-CN"/>
        </w:rPr>
      </w:pPr>
      <w:bookmarkStart w:id="64" w:name="_Toc31474"/>
      <w:r>
        <w:rPr>
          <w:rFonts w:hint="eastAsia"/>
          <w:lang w:val="en-US" w:eastAsia="zh-CN"/>
        </w:rPr>
        <w:t>检查过程</w:t>
      </w:r>
      <w:bookmarkEnd w:id="64"/>
    </w:p>
    <w:p>
      <w:pPr>
        <w:pStyle w:val="37"/>
        <w:spacing w:before="156" w:after="156"/>
        <w:outlineLvl w:val="1"/>
        <w:rPr>
          <w:rFonts w:hint="default"/>
          <w:lang w:val="en-US" w:eastAsia="zh-CN"/>
        </w:rPr>
      </w:pPr>
      <w:bookmarkStart w:id="65" w:name="_Toc17818"/>
      <w:r>
        <w:rPr>
          <w:rFonts w:hint="eastAsia"/>
          <w:lang w:val="en-US" w:eastAsia="zh-CN"/>
        </w:rPr>
        <w:t>主要环节</w:t>
      </w:r>
      <w:bookmarkEnd w:id="65"/>
    </w:p>
    <w:p>
      <w:pPr>
        <w:pStyle w:val="31"/>
        <w:rPr>
          <w:rFonts w:hint="eastAsia" w:hAnsi="宋体"/>
          <w:lang w:val="en-US" w:eastAsia="zh-CN"/>
        </w:rPr>
      </w:pPr>
      <w:r>
        <w:rPr>
          <w:rFonts w:hint="eastAsia" w:hAnsi="宋体"/>
          <w:lang w:val="en-US" w:eastAsia="zh-CN"/>
        </w:rPr>
        <w:t>数据合规性检查包括检查准备、检查实施、分析、判定等4个主要环节。</w:t>
      </w:r>
    </w:p>
    <w:p>
      <w:pPr>
        <w:pStyle w:val="37"/>
        <w:spacing w:before="156" w:after="156"/>
        <w:outlineLvl w:val="1"/>
        <w:rPr>
          <w:rFonts w:hint="default"/>
          <w:lang w:val="en-US" w:eastAsia="zh-CN"/>
        </w:rPr>
      </w:pPr>
      <w:bookmarkStart w:id="66" w:name="_Toc17227"/>
      <w:r>
        <w:rPr>
          <w:rFonts w:hint="eastAsia"/>
          <w:lang w:val="en-US" w:eastAsia="zh-CN"/>
        </w:rPr>
        <w:t>检查准备</w:t>
      </w:r>
      <w:bookmarkEnd w:id="66"/>
    </w:p>
    <w:p>
      <w:pPr>
        <w:pStyle w:val="38"/>
        <w:rPr>
          <w:rFonts w:hint="default"/>
          <w:lang w:val="en-US" w:eastAsia="zh-CN"/>
        </w:rPr>
      </w:pPr>
      <w:r>
        <w:rPr>
          <w:rFonts w:hint="eastAsia"/>
          <w:lang w:val="en-US" w:eastAsia="zh-CN"/>
        </w:rPr>
        <w:t>主要工作内容</w:t>
      </w:r>
    </w:p>
    <w:p>
      <w:pPr>
        <w:pStyle w:val="31"/>
        <w:rPr>
          <w:rFonts w:hint="eastAsia" w:hAnsi="宋体"/>
          <w:lang w:val="en-US" w:eastAsia="zh-CN"/>
        </w:rPr>
      </w:pPr>
      <w:r>
        <w:rPr>
          <w:rFonts w:hint="eastAsia" w:hAnsi="宋体"/>
          <w:lang w:val="en-US" w:eastAsia="zh-CN"/>
        </w:rPr>
        <w:t>检查准备阶段主要工作内容包括制订检查方案、调研、资料收集。</w:t>
      </w:r>
    </w:p>
    <w:p>
      <w:pPr>
        <w:pStyle w:val="38"/>
        <w:rPr>
          <w:rFonts w:hint="default"/>
          <w:lang w:val="en-US" w:eastAsia="zh-CN"/>
        </w:rPr>
      </w:pPr>
      <w:r>
        <w:rPr>
          <w:rFonts w:hint="eastAsia"/>
          <w:lang w:val="en-US" w:eastAsia="zh-CN"/>
        </w:rPr>
        <w:t>检查方案</w:t>
      </w:r>
    </w:p>
    <w:p>
      <w:pPr>
        <w:pStyle w:val="31"/>
        <w:rPr>
          <w:rFonts w:hint="default" w:hAnsi="宋体"/>
          <w:lang w:val="en-US" w:eastAsia="zh-CN"/>
        </w:rPr>
      </w:pPr>
      <w:r>
        <w:rPr>
          <w:rFonts w:hint="eastAsia" w:hAnsi="宋体"/>
          <w:lang w:val="en-US" w:eastAsia="zh-CN"/>
        </w:rPr>
        <w:t>检查方案应包括以下内容：</w:t>
      </w:r>
    </w:p>
    <w:p>
      <w:pPr>
        <w:keepNext w:val="0"/>
        <w:keepLines w:val="0"/>
        <w:pageBreakBefore w:val="0"/>
        <w:widowControl w:val="0"/>
        <w:numPr>
          <w:ilvl w:val="0"/>
          <w:numId w:val="1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检查团队的人员数量、专业组成以及沟通机制；</w:t>
      </w:r>
    </w:p>
    <w:p>
      <w:pPr>
        <w:pStyle w:val="31"/>
        <w:keepNext w:val="0"/>
        <w:keepLines w:val="0"/>
        <w:pageBreakBefore w:val="0"/>
        <w:widowControl/>
        <w:kinsoku/>
        <w:wordWrap/>
        <w:overflowPunct/>
        <w:topLinePunct w:val="0"/>
        <w:autoSpaceDE w:val="0"/>
        <w:autoSpaceDN w:val="0"/>
        <w:bidi w:val="0"/>
        <w:adjustRightInd/>
        <w:snapToGrid/>
        <w:ind w:left="780" w:leftChars="200" w:hanging="360" w:hangingChars="20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团队人员应具备可支撑检查开展的法律、技术、安全管理、业务规则等方面的专业知识和技能。</w:t>
      </w:r>
    </w:p>
    <w:p>
      <w:pPr>
        <w:keepNext w:val="0"/>
        <w:keepLines w:val="0"/>
        <w:pageBreakBefore w:val="0"/>
        <w:widowControl w:val="0"/>
        <w:numPr>
          <w:ilvl w:val="0"/>
          <w:numId w:val="1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根据检查对象和检查目的确定的检查范围；</w:t>
      </w:r>
    </w:p>
    <w:p>
      <w:pPr>
        <w:pStyle w:val="31"/>
        <w:keepNext w:val="0"/>
        <w:keepLines w:val="0"/>
        <w:pageBreakBefore w:val="0"/>
        <w:widowControl/>
        <w:kinsoku/>
        <w:wordWrap/>
        <w:overflowPunct/>
        <w:topLinePunct w:val="0"/>
        <w:autoSpaceDE w:val="0"/>
        <w:autoSpaceDN w:val="0"/>
        <w:bidi w:val="0"/>
        <w:adjustRightInd/>
        <w:snapToGrid/>
        <w:ind w:left="780" w:leftChars="200" w:hanging="360" w:hangingChars="20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检查范围可包括组织范围、物理地域范围、项目范围、业务流程和业务活动范围、信息系统和技术工具范围、人员范围、数据范围、时间范围等维度</w:t>
      </w:r>
      <w:r>
        <w:rPr>
          <w:rFonts w:hint="eastAsia" w:ascii="黑体" w:hAnsi="黑体" w:eastAsia="黑体" w:cs="黑体"/>
          <w:sz w:val="18"/>
          <w:szCs w:val="18"/>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应明确相关的法律法规、监管规定、行业准则、国际条约及行业标准化文件等检查依据；</w:t>
      </w:r>
    </w:p>
    <w:p>
      <w:pPr>
        <w:keepNext w:val="0"/>
        <w:keepLines w:val="0"/>
        <w:pageBreakBefore w:val="0"/>
        <w:widowControl w:val="0"/>
        <w:numPr>
          <w:ilvl w:val="0"/>
          <w:numId w:val="1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应明确可能使用的检查工具，包括但不限于检查表、基线检查工具、安全扫描及测试工具、安全审计工具等；</w:t>
      </w:r>
    </w:p>
    <w:p>
      <w:pPr>
        <w:keepNext w:val="0"/>
        <w:keepLines w:val="0"/>
        <w:pageBreakBefore w:val="0"/>
        <w:widowControl w:val="0"/>
        <w:numPr>
          <w:ilvl w:val="0"/>
          <w:numId w:val="1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对检查进度进行预期规划，包括检查准备、检查实施、分析、判定阶段的周期及时间点安排；</w:t>
      </w:r>
    </w:p>
    <w:p>
      <w:pPr>
        <w:keepNext w:val="0"/>
        <w:keepLines w:val="0"/>
        <w:pageBreakBefore w:val="0"/>
        <w:widowControl w:val="0"/>
        <w:numPr>
          <w:ilvl w:val="0"/>
          <w:numId w:val="1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对检查活动可能存在的风险及造成的影响进行分析，如检查活动可能造成信息泄密的风险、测试扫描活动对业务运行和数据正确性的影响、检查工作自身的局限性及约束等，检查实施应采取最小影响原则。</w:t>
      </w:r>
    </w:p>
    <w:p>
      <w:pPr>
        <w:pStyle w:val="38"/>
        <w:rPr>
          <w:rFonts w:hint="default"/>
          <w:lang w:val="en-US" w:eastAsia="zh-CN"/>
        </w:rPr>
      </w:pPr>
      <w:r>
        <w:rPr>
          <w:rFonts w:hint="eastAsia"/>
          <w:lang w:val="en-US" w:eastAsia="zh-CN"/>
        </w:rPr>
        <w:t>调研</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应对检查对象的业务运营模式、数据处理活动、安全管理制度构建及落实、处罚及整改相关情况进行调研。</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业务运营模式调研包括业务范围、内容、模式以及与外部机构合作的情况。</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数据处理活动调研涉及处理数据的类型、流程、规模及数据收集、存储、使用、加工、传输、流通、删除等全生命周期的活动。</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安全管理制度构建及落实调研包括安全管理组织架构、管理制度、技术措施、网络安全等级保护落实情况、培训教育制度的构建及落实。</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处罚及整改调研是否存在数据合规的投诉、行政处罚、诉讼、仲裁，如存在，还应调研以往的信息安全相关测评和数据合规检查的整改措施。</w:t>
      </w:r>
    </w:p>
    <w:p>
      <w:pPr>
        <w:pStyle w:val="38"/>
        <w:rPr>
          <w:rFonts w:hint="default"/>
          <w:lang w:val="en-US" w:eastAsia="zh-CN"/>
        </w:rPr>
      </w:pPr>
      <w:r>
        <w:rPr>
          <w:rFonts w:hint="eastAsia"/>
          <w:lang w:val="en-US" w:eastAsia="zh-CN"/>
        </w:rPr>
        <w:t>资料收集</w:t>
      </w:r>
    </w:p>
    <w:p>
      <w:pPr>
        <w:pStyle w:val="31"/>
        <w:rPr>
          <w:rFonts w:hint="default" w:hAnsi="宋体"/>
          <w:lang w:val="en-US" w:eastAsia="zh-CN"/>
        </w:rPr>
      </w:pPr>
      <w:r>
        <w:rPr>
          <w:rFonts w:hint="eastAsia" w:hAnsi="宋体"/>
          <w:lang w:val="en-US" w:eastAsia="zh-CN"/>
        </w:rPr>
        <w:t>应收集的数据合规相关资料包括但不限于：</w:t>
      </w:r>
    </w:p>
    <w:p>
      <w:pPr>
        <w:keepNext w:val="0"/>
        <w:keepLines w:val="0"/>
        <w:pageBreakBefore w:val="0"/>
        <w:widowControl w:val="0"/>
        <w:numPr>
          <w:ilvl w:val="0"/>
          <w:numId w:val="20"/>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数据交易主体的营业执照以及相关行业的经营许可；</w:t>
      </w:r>
    </w:p>
    <w:p>
      <w:pPr>
        <w:keepNext w:val="0"/>
        <w:keepLines w:val="0"/>
        <w:pageBreakBefore w:val="0"/>
        <w:widowControl w:val="0"/>
        <w:numPr>
          <w:ilvl w:val="0"/>
          <w:numId w:val="2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相关的协议、合同以及审查文件；</w:t>
      </w:r>
    </w:p>
    <w:p>
      <w:pPr>
        <w:keepNext w:val="0"/>
        <w:keepLines w:val="0"/>
        <w:pageBreakBefore w:val="0"/>
        <w:widowControl w:val="0"/>
        <w:numPr>
          <w:ilvl w:val="0"/>
          <w:numId w:val="2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交易主体的网络安全、数据安全、数据分级分类、个人信息保护等事项的管理文件，包括制度文件、程序文件、行业准则和承诺、指引文件、培训考核和监督要求以及近三年执行相关活动形成的技术和质量记录等；</w:t>
      </w:r>
    </w:p>
    <w:p>
      <w:pPr>
        <w:keepNext w:val="0"/>
        <w:keepLines w:val="0"/>
        <w:pageBreakBefore w:val="0"/>
        <w:widowControl w:val="0"/>
        <w:numPr>
          <w:ilvl w:val="0"/>
          <w:numId w:val="2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近年（例如三年内）与信息安全或数据安全相关的诉讼、仲裁和被执法机关调查和处罚的相关文件，包括约谈、调查通知、处罚通知、判决书等；</w:t>
      </w:r>
    </w:p>
    <w:p>
      <w:pPr>
        <w:keepNext w:val="0"/>
        <w:keepLines w:val="0"/>
        <w:pageBreakBefore w:val="0"/>
        <w:widowControl w:val="0"/>
        <w:numPr>
          <w:ilvl w:val="0"/>
          <w:numId w:val="2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近年（例如三年内）涉及的网络安全审查报告、等级保护的备案证明以及相关信息系统的等级保护测评报告、网络信息安全及数据安全风险评估报告等；</w:t>
      </w:r>
    </w:p>
    <w:p>
      <w:pPr>
        <w:keepNext w:val="0"/>
        <w:keepLines w:val="0"/>
        <w:pageBreakBefore w:val="0"/>
        <w:widowControl w:val="0"/>
        <w:numPr>
          <w:ilvl w:val="0"/>
          <w:numId w:val="2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已发生过的网络安全攻击、系统中断、信息泄露等事件的情况分析及应急响应报告。</w:t>
      </w:r>
    </w:p>
    <w:p>
      <w:pPr>
        <w:pStyle w:val="31"/>
        <w:rPr>
          <w:rFonts w:hint="default" w:hAnsi="宋体"/>
          <w:lang w:val="en-US" w:eastAsia="zh-CN"/>
        </w:rPr>
      </w:pPr>
      <w:r>
        <w:rPr>
          <w:rFonts w:hint="eastAsia" w:hAnsi="宋体"/>
          <w:lang w:val="en-US" w:eastAsia="zh-CN"/>
        </w:rPr>
        <w:t>可根据检查需求，通过对公开信息进行查询的方式获取评估对象的相关信息，以对收到的资料进行印证和补充，查询渠道包括：国家企业信用信息公示系统、信息产业主管部门网站、各地行业主管部门网站、国家及地方网信部门网站以及执行和裁判信息公开网站等。</w:t>
      </w:r>
    </w:p>
    <w:p>
      <w:pPr>
        <w:pStyle w:val="31"/>
        <w:rPr>
          <w:rFonts w:hint="eastAsia" w:hAnsi="宋体"/>
          <w:lang w:val="en-US" w:eastAsia="zh-CN"/>
        </w:rPr>
      </w:pPr>
      <w:r>
        <w:rPr>
          <w:rFonts w:hint="eastAsia" w:hAnsi="宋体"/>
          <w:lang w:val="en-US" w:eastAsia="zh-CN"/>
        </w:rPr>
        <w:t>检查实施过程中，可根据实际情况，要求被检查方补充资料。</w:t>
      </w:r>
    </w:p>
    <w:p>
      <w:pPr>
        <w:pStyle w:val="37"/>
        <w:spacing w:before="156" w:after="156"/>
        <w:outlineLvl w:val="1"/>
        <w:rPr>
          <w:rFonts w:hint="default"/>
          <w:lang w:val="en-US" w:eastAsia="zh-CN"/>
        </w:rPr>
      </w:pPr>
      <w:bookmarkStart w:id="67" w:name="_Toc14826"/>
      <w:r>
        <w:rPr>
          <w:rFonts w:hint="eastAsia"/>
          <w:lang w:val="en-US" w:eastAsia="zh-CN"/>
        </w:rPr>
        <w:t>检查实施</w:t>
      </w:r>
      <w:bookmarkEnd w:id="67"/>
    </w:p>
    <w:p>
      <w:pPr>
        <w:pStyle w:val="31"/>
        <w:rPr>
          <w:rFonts w:hint="default" w:hAnsi="宋体"/>
          <w:lang w:val="en-US" w:eastAsia="zh-CN"/>
        </w:rPr>
      </w:pPr>
      <w:r>
        <w:rPr>
          <w:rFonts w:hint="eastAsia" w:hAnsi="宋体"/>
          <w:lang w:val="en-US" w:eastAsia="zh-CN"/>
        </w:rPr>
        <w:t>检查实施主要通过文档审查、安全检测、人员访谈三种方式进行。</w:t>
      </w:r>
    </w:p>
    <w:p>
      <w:pPr>
        <w:keepNext w:val="0"/>
        <w:keepLines w:val="0"/>
        <w:pageBreakBefore w:val="0"/>
        <w:widowControl w:val="0"/>
        <w:numPr>
          <w:ilvl w:val="0"/>
          <w:numId w:val="2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文档审查：逐一审查收集到的相关文档，判断相关制度、文件的建立和落实情况是否符合相关要求。</w:t>
      </w:r>
    </w:p>
    <w:p>
      <w:pPr>
        <w:keepNext w:val="0"/>
        <w:keepLines w:val="0"/>
        <w:pageBreakBefore w:val="0"/>
        <w:widowControl w:val="0"/>
        <w:numPr>
          <w:ilvl w:val="0"/>
          <w:numId w:val="2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安全检测：对相关的网络、信息系统和数据信息实施安全检测，通过查看、分析被测系统的响应和输出结果，检查被测系统的安全技术保障措施是否有效。进行安全检测时，需要注意测试数据和检测工具可能对系统运行产生的影响，并尽可能减小这些影响。</w:t>
      </w:r>
    </w:p>
    <w:p>
      <w:pPr>
        <w:keepNext w:val="0"/>
        <w:keepLines w:val="0"/>
        <w:pageBreakBefore w:val="0"/>
        <w:widowControl w:val="0"/>
        <w:numPr>
          <w:ilvl w:val="0"/>
          <w:numId w:val="2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人员访谈：与相关人员进行交流、讨论、询问等形式的访谈，作为文档审查和安全检测的补充，以核实数据安全合规的情况。访谈对象包括但不限于：信息系统相关的研发人员、产品经理、业务设计人员、业务负责人、技术负责人、数据安全负责人、法律合规负责人、运维人员和信息安全管理人员。</w:t>
      </w:r>
    </w:p>
    <w:p>
      <w:pPr>
        <w:pStyle w:val="37"/>
        <w:spacing w:before="156" w:after="156"/>
        <w:outlineLvl w:val="1"/>
        <w:rPr>
          <w:rFonts w:hint="default"/>
          <w:lang w:val="en-US" w:eastAsia="zh-CN"/>
        </w:rPr>
      </w:pPr>
      <w:bookmarkStart w:id="68" w:name="_Toc11497"/>
      <w:r>
        <w:rPr>
          <w:rFonts w:hint="eastAsia"/>
          <w:lang w:val="en-US" w:eastAsia="zh-CN"/>
        </w:rPr>
        <w:t>分析</w:t>
      </w:r>
      <w:bookmarkEnd w:id="68"/>
    </w:p>
    <w:p>
      <w:pPr>
        <w:pStyle w:val="31"/>
        <w:rPr>
          <w:rFonts w:hint="eastAsia" w:hAnsi="宋体"/>
          <w:lang w:val="en-US" w:eastAsia="zh-CN"/>
        </w:rPr>
      </w:pPr>
      <w:r>
        <w:rPr>
          <w:rFonts w:hint="eastAsia" w:hAnsi="宋体"/>
          <w:lang w:val="en-US" w:eastAsia="zh-CN"/>
        </w:rPr>
        <w:t>在检查过程中，记录发现的问题，并对问题可能产生的风险进行分析。问题记录内容应包括：</w:t>
      </w:r>
    </w:p>
    <w:p>
      <w:pPr>
        <w:keepNext w:val="0"/>
        <w:keepLines w:val="0"/>
        <w:pageBreakBefore w:val="0"/>
        <w:widowControl w:val="0"/>
        <w:numPr>
          <w:ilvl w:val="0"/>
          <w:numId w:val="2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问题事实描述（所在业务、违规事实和发生场景等）；</w:t>
      </w:r>
    </w:p>
    <w:p>
      <w:pPr>
        <w:keepNext w:val="0"/>
        <w:keepLines w:val="0"/>
        <w:pageBreakBefore w:val="0"/>
        <w:widowControl w:val="0"/>
        <w:numPr>
          <w:ilvl w:val="0"/>
          <w:numId w:val="2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违反的相关制度规定的名称和条款；</w:t>
      </w:r>
    </w:p>
    <w:p>
      <w:pPr>
        <w:keepNext w:val="0"/>
        <w:keepLines w:val="0"/>
        <w:pageBreakBefore w:val="0"/>
        <w:widowControl w:val="0"/>
        <w:numPr>
          <w:ilvl w:val="0"/>
          <w:numId w:val="2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定性问题的依据名称和条款；</w:t>
      </w:r>
    </w:p>
    <w:p>
      <w:pPr>
        <w:keepNext w:val="0"/>
        <w:keepLines w:val="0"/>
        <w:pageBreakBefore w:val="0"/>
        <w:widowControl w:val="0"/>
        <w:numPr>
          <w:ilvl w:val="0"/>
          <w:numId w:val="22"/>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问题可能引起的风险和处罚后果；</w:t>
      </w:r>
    </w:p>
    <w:p>
      <w:pPr>
        <w:keepNext w:val="0"/>
        <w:keepLines w:val="0"/>
        <w:pageBreakBefore w:val="0"/>
        <w:widowControl w:val="0"/>
        <w:numPr>
          <w:ilvl w:val="0"/>
          <w:numId w:val="22"/>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必要时，应记录风险等级。</w:t>
      </w:r>
    </w:p>
    <w:p>
      <w:pPr>
        <w:pStyle w:val="37"/>
        <w:spacing w:before="156" w:after="156"/>
        <w:outlineLvl w:val="1"/>
        <w:rPr>
          <w:rFonts w:hint="default"/>
          <w:lang w:val="en-US" w:eastAsia="zh-CN"/>
        </w:rPr>
      </w:pPr>
      <w:bookmarkStart w:id="69" w:name="_Toc7555"/>
      <w:r>
        <w:rPr>
          <w:rFonts w:hint="eastAsia"/>
          <w:lang w:val="en-US" w:eastAsia="zh-CN"/>
        </w:rPr>
        <w:t>判定</w:t>
      </w:r>
      <w:bookmarkEnd w:id="69"/>
    </w:p>
    <w:p>
      <w:pPr>
        <w:pStyle w:val="31"/>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检查工作完成后，应编制数据合规性检查报告，明确数据是否合规的判定结论。检查报告内容包括：</w:t>
      </w:r>
    </w:p>
    <w:p>
      <w:pPr>
        <w:keepNext w:val="0"/>
        <w:keepLines w:val="0"/>
        <w:pageBreakBefore w:val="0"/>
        <w:widowControl w:val="0"/>
        <w:numPr>
          <w:ilvl w:val="0"/>
          <w:numId w:val="2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背景，描述检查的目的；</w:t>
      </w:r>
    </w:p>
    <w:p>
      <w:pPr>
        <w:keepNext w:val="0"/>
        <w:keepLines w:val="0"/>
        <w:pageBreakBefore w:val="0"/>
        <w:widowControl w:val="0"/>
        <w:numPr>
          <w:ilvl w:val="0"/>
          <w:numId w:val="2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声明，描述检查结果的适用范围、约束、假设及免责声明；</w:t>
      </w:r>
    </w:p>
    <w:p>
      <w:pPr>
        <w:keepNext w:val="0"/>
        <w:keepLines w:val="0"/>
        <w:pageBreakBefore w:val="0"/>
        <w:widowControl w:val="0"/>
        <w:numPr>
          <w:ilvl w:val="0"/>
          <w:numId w:val="2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依据，介绍所依据的法律法规、相关政策和标准化文件等；</w:t>
      </w:r>
    </w:p>
    <w:p>
      <w:pPr>
        <w:keepNext w:val="0"/>
        <w:keepLines w:val="0"/>
        <w:pageBreakBefore w:val="0"/>
        <w:widowControl w:val="0"/>
        <w:numPr>
          <w:ilvl w:val="0"/>
          <w:numId w:val="2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检查范围，对检查对象的组成、检查内容和指标进行描述；</w:t>
      </w:r>
    </w:p>
    <w:p>
      <w:pPr>
        <w:keepNext w:val="0"/>
        <w:keepLines w:val="0"/>
        <w:pageBreakBefore w:val="0"/>
        <w:widowControl w:val="0"/>
        <w:numPr>
          <w:ilvl w:val="0"/>
          <w:numId w:val="2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流程，整个检查活动的过程性描述；</w:t>
      </w:r>
    </w:p>
    <w:p>
      <w:pPr>
        <w:keepNext w:val="0"/>
        <w:keepLines w:val="0"/>
        <w:pageBreakBefore w:val="0"/>
        <w:widowControl w:val="0"/>
        <w:numPr>
          <w:ilvl w:val="0"/>
          <w:numId w:val="23"/>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判定结论，可包括数据处理业务的合规性判定、安全管理措施及落实情况的合规性判定、技术保障措施及落实情况的合规性判定。</w:t>
      </w:r>
    </w:p>
    <w:p>
      <w:pPr>
        <w:pStyle w:val="3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如在检查过程中发现问题及存在风险，</w:t>
      </w:r>
      <w:r>
        <w:rPr>
          <w:rFonts w:hint="eastAsia" w:hAnsi="宋体" w:cs="宋体"/>
          <w:kern w:val="0"/>
          <w:sz w:val="21"/>
          <w:szCs w:val="21"/>
          <w:lang w:val="en-US" w:eastAsia="zh-CN"/>
        </w:rPr>
        <w:t>宜</w:t>
      </w:r>
      <w:r>
        <w:rPr>
          <w:rFonts w:hint="eastAsia" w:ascii="宋体" w:hAnsi="宋体" w:eastAsia="宋体" w:cs="宋体"/>
          <w:kern w:val="0"/>
          <w:sz w:val="21"/>
          <w:szCs w:val="21"/>
          <w:lang w:val="en-US" w:eastAsia="zh-CN"/>
        </w:rPr>
        <w:t>给出整改和持续改进的建议。</w:t>
      </w:r>
      <w:r>
        <w:rPr>
          <w:rFonts w:hint="eastAsia" w:hAnsi="宋体" w:cs="宋体"/>
          <w:kern w:val="0"/>
          <w:sz w:val="21"/>
          <w:szCs w:val="21"/>
          <w:lang w:val="en-US" w:eastAsia="zh-CN"/>
        </w:rPr>
        <w:t>宜</w:t>
      </w:r>
      <w:r>
        <w:rPr>
          <w:rFonts w:hint="eastAsia" w:ascii="宋体" w:hAnsi="宋体" w:eastAsia="宋体" w:cs="宋体"/>
          <w:kern w:val="0"/>
          <w:sz w:val="21"/>
          <w:szCs w:val="21"/>
          <w:lang w:val="en-US" w:eastAsia="zh-CN"/>
        </w:rPr>
        <w:t>针对之前的网络和数据安全审查、测评、评估中发现问题的整改情况进行总结。</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rPr>
          <w:rFonts w:hint="eastAsia"/>
          <w:highlight w:val="none"/>
          <w:lang w:val="en-US" w:eastAsia="zh-CN"/>
        </w:rPr>
      </w:pPr>
      <w:r>
        <w:rPr>
          <w:rFonts w:hint="eastAsia"/>
          <w:highlight w:val="none"/>
          <w:lang w:val="en-US" w:eastAsia="zh-CN"/>
        </w:rPr>
        <w:br w:type="page"/>
      </w:r>
    </w:p>
    <w:p>
      <w:pPr>
        <w:pStyle w:val="37"/>
        <w:numPr>
          <w:ilvl w:val="255"/>
          <w:numId w:val="0"/>
        </w:numPr>
        <w:spacing w:before="156" w:after="156" w:line="360" w:lineRule="auto"/>
        <w:ind w:firstLine="420" w:firstLineChars="200"/>
        <w:jc w:val="center"/>
        <w:outlineLvl w:val="0"/>
        <w:rPr>
          <w:rFonts w:hint="eastAsia"/>
          <w:color w:val="auto"/>
          <w:sz w:val="21"/>
          <w:szCs w:val="21"/>
          <w:highlight w:val="none"/>
          <w:lang w:val="en-US" w:eastAsia="zh-CN"/>
        </w:rPr>
      </w:pPr>
      <w:bookmarkStart w:id="70" w:name="_Toc15863"/>
      <w:bookmarkStart w:id="71" w:name="_Toc11116"/>
      <w:bookmarkStart w:id="72" w:name="_Toc19222"/>
      <w:bookmarkStart w:id="73" w:name="_Toc21214"/>
      <w:bookmarkStart w:id="74" w:name="_Toc17505"/>
      <w:bookmarkStart w:id="75" w:name="_Toc8281"/>
      <w:bookmarkStart w:id="76" w:name="_Toc7468"/>
      <w:r>
        <w:rPr>
          <w:rFonts w:hint="eastAsia"/>
          <w:color w:val="auto"/>
          <w:sz w:val="21"/>
          <w:szCs w:val="21"/>
          <w:highlight w:val="none"/>
          <w:lang w:val="en-US" w:eastAsia="zh-CN"/>
        </w:rPr>
        <w:t>参　考　文　献</w:t>
      </w:r>
      <w:bookmarkEnd w:id="70"/>
      <w:bookmarkEnd w:id="71"/>
      <w:bookmarkEnd w:id="72"/>
      <w:bookmarkEnd w:id="73"/>
      <w:bookmarkEnd w:id="74"/>
      <w:bookmarkEnd w:id="75"/>
      <w:bookmarkEnd w:id="76"/>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22240-2020  信息安全技术  网络安全等级保护定级指南</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35273-2017  信息安全技术  个人信息安全规范</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35274-2017  信息安全技术  大数据服务安全能力要求</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37932-2019  信息安全技术  数据交易服务安全要求</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39204-2022  信息安全技术  关键信息基础设施安全保护要求</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39335-2020  信息安全技术  个人信息安全影响评估指南</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41479-2022  信息安全技术  网络数据处理安全要求</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T/SZBA 001-2023  数据安全合规评估方法</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DB52/T 1468-2019  基于区块链的数据资产交易实施指南</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《工业和信息化领域数据安全管理办法（试行）》</w:t>
      </w:r>
    </w:p>
    <w:p>
      <w:pPr>
        <w:pStyle w:val="2"/>
        <w:numPr>
          <w:ilvl w:val="0"/>
          <w:numId w:val="24"/>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《数据出境安全评估办法》</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pStyle w:val="31"/>
        <w:rPr>
          <w:rFonts w:hint="default"/>
          <w:lang w:val="en-US" w:eastAsia="zh-CN"/>
        </w:rPr>
      </w:pP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framePr w:wrap="around" w:vAnchor="text" w:hAnchor="page" w:x="4160" w:y="332"/>
        <w:rPr>
          <w:rFonts w:hint="default"/>
          <w:lang w:val="en-US" w:eastAsia="zh-CN"/>
        </w:rPr>
      </w:pPr>
      <w:r>
        <w:rPr>
          <w:rFonts w:hint="default"/>
          <w:sz w:val="21"/>
          <w:lang w:val="en-US" w:eastAsia="zh-CN"/>
        </w:rPr>
        <w:br w:type="page"/>
      </w:r>
      <w:bookmarkStart w:id="77" w:name="_Toc25502"/>
      <w:bookmarkEnd w:id="77"/>
      <w:r>
        <w:t>________________________________</w:t>
      </w:r>
    </w:p>
    <w:sectPr>
      <w:headerReference r:id="rId8" w:type="default"/>
      <w:footerReference r:id="rId10" w:type="default"/>
      <w:headerReference r:id="rId9"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w:t>
    </w:r>
    <w:r>
      <w:rPr>
        <w:rFonts w:hint="eastAsia"/>
        <w:lang w:val="en-US" w:eastAsia="zh-CN"/>
      </w:rPr>
      <w:t>21</w:t>
    </w:r>
    <w:r>
      <w:rPr>
        <w:rFonts w:hint="eastAsia" w:eastAsia="黑体"/>
        <w:lang w:eastAsia="zh-CN"/>
      </w:rPr>
      <w:t>/T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r>
      <w:t>DB21/T XXXXX—20</w:t>
    </w:r>
    <w:r>
      <w:rPr>
        <w:rFonts w:hint="eastAsia"/>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w:t>
    </w:r>
    <w:r>
      <w:rPr>
        <w:rFonts w:hint="eastAsia"/>
        <w:lang w:val="en-US" w:eastAsia="zh-CN"/>
      </w:rPr>
      <w:t>21</w:t>
    </w:r>
    <w:r>
      <w:rPr>
        <w:rFonts w:hint="eastAsia" w:eastAsia="黑体"/>
        <w:lang w:eastAsia="zh-CN"/>
      </w:rPr>
      <w:t>/T XXXX—XXXX</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r>
      <w:t>DB21/T XXXXX—20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FDCC6"/>
    <w:multiLevelType w:val="singleLevel"/>
    <w:tmpl w:val="80DFDCC6"/>
    <w:lvl w:ilvl="0" w:tentative="0">
      <w:start w:val="1"/>
      <w:numFmt w:val="lowerLetter"/>
      <w:suff w:val="space"/>
      <w:lvlText w:val="%1）"/>
      <w:lvlJc w:val="left"/>
      <w:rPr>
        <w:rFonts w:hint="default"/>
        <w:b w:val="0"/>
        <w:bCs w:val="0"/>
      </w:rPr>
    </w:lvl>
  </w:abstractNum>
  <w:abstractNum w:abstractNumId="1">
    <w:nsid w:val="82525956"/>
    <w:multiLevelType w:val="singleLevel"/>
    <w:tmpl w:val="82525956"/>
    <w:lvl w:ilvl="0" w:tentative="0">
      <w:start w:val="1"/>
      <w:numFmt w:val="lowerLetter"/>
      <w:suff w:val="space"/>
      <w:lvlText w:val="%1）"/>
      <w:lvlJc w:val="left"/>
      <w:rPr>
        <w:rFonts w:hint="default"/>
        <w:b w:val="0"/>
        <w:bCs w:val="0"/>
      </w:rPr>
    </w:lvl>
  </w:abstractNum>
  <w:abstractNum w:abstractNumId="2">
    <w:nsid w:val="8E330C46"/>
    <w:multiLevelType w:val="multilevel"/>
    <w:tmpl w:val="8E330C46"/>
    <w:lvl w:ilvl="0" w:tentative="0">
      <w:start w:val="1"/>
      <w:numFmt w:val="upperLetter"/>
      <w:pStyle w:val="43"/>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A229BDE0"/>
    <w:multiLevelType w:val="singleLevel"/>
    <w:tmpl w:val="A229BDE0"/>
    <w:lvl w:ilvl="0" w:tentative="0">
      <w:start w:val="1"/>
      <w:numFmt w:val="lowerLetter"/>
      <w:suff w:val="space"/>
      <w:lvlText w:val="%1）"/>
      <w:lvlJc w:val="left"/>
      <w:rPr>
        <w:rFonts w:hint="default"/>
        <w:b w:val="0"/>
        <w:bCs w:val="0"/>
      </w:rPr>
    </w:lvl>
  </w:abstractNum>
  <w:abstractNum w:abstractNumId="4">
    <w:nsid w:val="A93BA0C5"/>
    <w:multiLevelType w:val="singleLevel"/>
    <w:tmpl w:val="A93BA0C5"/>
    <w:lvl w:ilvl="0" w:tentative="0">
      <w:start w:val="1"/>
      <w:numFmt w:val="lowerLetter"/>
      <w:suff w:val="space"/>
      <w:lvlText w:val="%1）"/>
      <w:lvlJc w:val="left"/>
      <w:rPr>
        <w:rFonts w:hint="default"/>
        <w:b w:val="0"/>
        <w:bCs w:val="0"/>
      </w:rPr>
    </w:lvl>
  </w:abstractNum>
  <w:abstractNum w:abstractNumId="5">
    <w:nsid w:val="ACA34034"/>
    <w:multiLevelType w:val="singleLevel"/>
    <w:tmpl w:val="ACA34034"/>
    <w:lvl w:ilvl="0" w:tentative="0">
      <w:start w:val="1"/>
      <w:numFmt w:val="lowerLetter"/>
      <w:suff w:val="space"/>
      <w:lvlText w:val="%1）"/>
      <w:lvlJc w:val="left"/>
      <w:rPr>
        <w:rFonts w:hint="default"/>
        <w:b w:val="0"/>
        <w:bCs w:val="0"/>
      </w:rPr>
    </w:lvl>
  </w:abstractNum>
  <w:abstractNum w:abstractNumId="6">
    <w:nsid w:val="AE5F2BBA"/>
    <w:multiLevelType w:val="singleLevel"/>
    <w:tmpl w:val="AE5F2BBA"/>
    <w:lvl w:ilvl="0" w:tentative="0">
      <w:start w:val="1"/>
      <w:numFmt w:val="lowerLetter"/>
      <w:suff w:val="space"/>
      <w:lvlText w:val="%1）"/>
      <w:lvlJc w:val="left"/>
      <w:rPr>
        <w:rFonts w:hint="default"/>
        <w:b w:val="0"/>
        <w:bCs w:val="0"/>
      </w:rPr>
    </w:lvl>
  </w:abstractNum>
  <w:abstractNum w:abstractNumId="7">
    <w:nsid w:val="B2D0F994"/>
    <w:multiLevelType w:val="singleLevel"/>
    <w:tmpl w:val="B2D0F994"/>
    <w:lvl w:ilvl="0" w:tentative="0">
      <w:start w:val="1"/>
      <w:numFmt w:val="lowerLetter"/>
      <w:suff w:val="space"/>
      <w:lvlText w:val="%1）"/>
      <w:lvlJc w:val="left"/>
      <w:rPr>
        <w:rFonts w:hint="default"/>
        <w:b w:val="0"/>
        <w:bCs w:val="0"/>
      </w:rPr>
    </w:lvl>
  </w:abstractNum>
  <w:abstractNum w:abstractNumId="8">
    <w:nsid w:val="BEEA03DB"/>
    <w:multiLevelType w:val="singleLevel"/>
    <w:tmpl w:val="BEEA03DB"/>
    <w:lvl w:ilvl="0" w:tentative="0">
      <w:start w:val="1"/>
      <w:numFmt w:val="lowerLetter"/>
      <w:suff w:val="space"/>
      <w:lvlText w:val="%1）"/>
      <w:lvlJc w:val="left"/>
      <w:rPr>
        <w:rFonts w:hint="default"/>
        <w:b w:val="0"/>
        <w:bCs w:val="0"/>
      </w:rPr>
    </w:lvl>
  </w:abstractNum>
  <w:abstractNum w:abstractNumId="9">
    <w:nsid w:val="C7B30E79"/>
    <w:multiLevelType w:val="singleLevel"/>
    <w:tmpl w:val="C7B30E79"/>
    <w:lvl w:ilvl="0" w:tentative="0">
      <w:start w:val="1"/>
      <w:numFmt w:val="lowerLetter"/>
      <w:suff w:val="space"/>
      <w:lvlText w:val="%1）"/>
      <w:lvlJc w:val="left"/>
      <w:rPr>
        <w:rFonts w:hint="default"/>
        <w:b w:val="0"/>
        <w:bCs w:val="0"/>
      </w:rPr>
    </w:lvl>
  </w:abstractNum>
  <w:abstractNum w:abstractNumId="10">
    <w:nsid w:val="C8A6D1E5"/>
    <w:multiLevelType w:val="multilevel"/>
    <w:tmpl w:val="C8A6D1E5"/>
    <w:lvl w:ilvl="0" w:tentative="0">
      <w:start w:val="1"/>
      <w:numFmt w:val="decimal"/>
      <w:pStyle w:val="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39"/>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D5888D75"/>
    <w:multiLevelType w:val="singleLevel"/>
    <w:tmpl w:val="D5888D75"/>
    <w:lvl w:ilvl="0" w:tentative="0">
      <w:start w:val="1"/>
      <w:numFmt w:val="lowerLetter"/>
      <w:suff w:val="space"/>
      <w:lvlText w:val="%1）"/>
      <w:lvlJc w:val="left"/>
      <w:rPr>
        <w:rFonts w:hint="default"/>
        <w:b w:val="0"/>
        <w:bCs w:val="0"/>
      </w:rPr>
    </w:lvl>
  </w:abstractNum>
  <w:abstractNum w:abstractNumId="12">
    <w:nsid w:val="D721B4C4"/>
    <w:multiLevelType w:val="singleLevel"/>
    <w:tmpl w:val="D721B4C4"/>
    <w:lvl w:ilvl="0" w:tentative="0">
      <w:start w:val="1"/>
      <w:numFmt w:val="lowerLetter"/>
      <w:suff w:val="space"/>
      <w:lvlText w:val="%1）"/>
      <w:lvlJc w:val="left"/>
      <w:rPr>
        <w:rFonts w:hint="default"/>
        <w:b w:val="0"/>
        <w:bCs w:val="0"/>
      </w:rPr>
    </w:lvl>
  </w:abstractNum>
  <w:abstractNum w:abstractNumId="13">
    <w:nsid w:val="E638BA50"/>
    <w:multiLevelType w:val="singleLevel"/>
    <w:tmpl w:val="E638BA50"/>
    <w:lvl w:ilvl="0" w:tentative="0">
      <w:start w:val="1"/>
      <w:numFmt w:val="lowerLetter"/>
      <w:suff w:val="space"/>
      <w:lvlText w:val="%1）"/>
      <w:lvlJc w:val="left"/>
      <w:rPr>
        <w:rFonts w:hint="default"/>
        <w:b w:val="0"/>
        <w:bCs w:val="0"/>
      </w:rPr>
    </w:lvl>
  </w:abstractNum>
  <w:abstractNum w:abstractNumId="14">
    <w:nsid w:val="F2A70DBB"/>
    <w:multiLevelType w:val="singleLevel"/>
    <w:tmpl w:val="F2A70DBB"/>
    <w:lvl w:ilvl="0" w:tentative="0">
      <w:start w:val="1"/>
      <w:numFmt w:val="lowerLetter"/>
      <w:suff w:val="space"/>
      <w:lvlText w:val="%1）"/>
      <w:lvlJc w:val="left"/>
      <w:rPr>
        <w:rFonts w:hint="default"/>
        <w:b w:val="0"/>
        <w:bCs w:val="0"/>
      </w:rPr>
    </w:lvl>
  </w:abstractNum>
  <w:abstractNum w:abstractNumId="15">
    <w:nsid w:val="F7EA6BFA"/>
    <w:multiLevelType w:val="singleLevel"/>
    <w:tmpl w:val="F7EA6BFA"/>
    <w:lvl w:ilvl="0" w:tentative="0">
      <w:start w:val="1"/>
      <w:numFmt w:val="lowerLetter"/>
      <w:suff w:val="space"/>
      <w:lvlText w:val="%1）"/>
      <w:lvlJc w:val="left"/>
      <w:rPr>
        <w:rFonts w:hint="default"/>
        <w:b w:val="0"/>
        <w:bCs w:val="0"/>
      </w:rPr>
    </w:lvl>
  </w:abstractNum>
  <w:abstractNum w:abstractNumId="16">
    <w:nsid w:val="FF0514C2"/>
    <w:multiLevelType w:val="singleLevel"/>
    <w:tmpl w:val="FF0514C2"/>
    <w:lvl w:ilvl="0" w:tentative="0">
      <w:start w:val="1"/>
      <w:numFmt w:val="lowerLetter"/>
      <w:suff w:val="space"/>
      <w:lvlText w:val="%1）"/>
      <w:lvlJc w:val="left"/>
      <w:rPr>
        <w:rFonts w:hint="default"/>
        <w:b w:val="0"/>
        <w:bCs w:val="0"/>
      </w:rPr>
    </w:lvl>
  </w:abstractNum>
  <w:abstractNum w:abstractNumId="17">
    <w:nsid w:val="05EA1B58"/>
    <w:multiLevelType w:val="singleLevel"/>
    <w:tmpl w:val="05EA1B58"/>
    <w:lvl w:ilvl="0" w:tentative="0">
      <w:start w:val="1"/>
      <w:numFmt w:val="lowerLetter"/>
      <w:suff w:val="space"/>
      <w:lvlText w:val="%1）"/>
      <w:lvlJc w:val="left"/>
      <w:rPr>
        <w:rFonts w:hint="default"/>
        <w:b w:val="0"/>
        <w:bCs w:val="0"/>
      </w:rPr>
    </w:lvl>
  </w:abstractNum>
  <w:abstractNum w:abstractNumId="18">
    <w:nsid w:val="1DF3C685"/>
    <w:multiLevelType w:val="singleLevel"/>
    <w:tmpl w:val="1DF3C685"/>
    <w:lvl w:ilvl="0" w:tentative="0">
      <w:start w:val="1"/>
      <w:numFmt w:val="lowerLetter"/>
      <w:suff w:val="space"/>
      <w:lvlText w:val="%1）"/>
      <w:lvlJc w:val="left"/>
      <w:rPr>
        <w:rFonts w:hint="default"/>
        <w:b w:val="0"/>
        <w:bCs w:val="0"/>
      </w:rPr>
    </w:lvl>
  </w:abstractNum>
  <w:abstractNum w:abstractNumId="19">
    <w:nsid w:val="5610712E"/>
    <w:multiLevelType w:val="singleLevel"/>
    <w:tmpl w:val="5610712E"/>
    <w:lvl w:ilvl="0" w:tentative="0">
      <w:start w:val="1"/>
      <w:numFmt w:val="lowerLetter"/>
      <w:suff w:val="space"/>
      <w:lvlText w:val="%1）"/>
      <w:lvlJc w:val="left"/>
      <w:rPr>
        <w:rFonts w:hint="default"/>
        <w:b w:val="0"/>
        <w:bCs w:val="0"/>
      </w:rPr>
    </w:lvl>
  </w:abstractNum>
  <w:abstractNum w:abstractNumId="20">
    <w:nsid w:val="5789AF3C"/>
    <w:multiLevelType w:val="singleLevel"/>
    <w:tmpl w:val="5789AF3C"/>
    <w:lvl w:ilvl="0" w:tentative="0">
      <w:start w:val="1"/>
      <w:numFmt w:val="lowerLetter"/>
      <w:suff w:val="space"/>
      <w:lvlText w:val="%1）"/>
      <w:lvlJc w:val="left"/>
      <w:rPr>
        <w:rFonts w:hint="default"/>
        <w:b w:val="0"/>
        <w:bCs w:val="0"/>
      </w:rPr>
    </w:lvl>
  </w:abstractNum>
  <w:abstractNum w:abstractNumId="21">
    <w:nsid w:val="6278D62F"/>
    <w:multiLevelType w:val="singleLevel"/>
    <w:tmpl w:val="6278D62F"/>
    <w:lvl w:ilvl="0" w:tentative="0">
      <w:start w:val="1"/>
      <w:numFmt w:val="decimal"/>
      <w:suff w:val="nothing"/>
      <w:lvlText w:val="[%1]　"/>
      <w:lvlJc w:val="left"/>
    </w:lvl>
  </w:abstractNum>
  <w:abstractNum w:abstractNumId="22">
    <w:nsid w:val="6AC25856"/>
    <w:multiLevelType w:val="multilevel"/>
    <w:tmpl w:val="6AC25856"/>
    <w:lvl w:ilvl="0" w:tentative="0">
      <w:start w:val="1"/>
      <w:numFmt w:val="lowerLetter"/>
      <w:pStyle w:val="4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6F15A283"/>
    <w:multiLevelType w:val="singleLevel"/>
    <w:tmpl w:val="6F15A283"/>
    <w:lvl w:ilvl="0" w:tentative="0">
      <w:start w:val="1"/>
      <w:numFmt w:val="lowerLetter"/>
      <w:suff w:val="space"/>
      <w:lvlText w:val="%1）"/>
      <w:lvlJc w:val="left"/>
      <w:rPr>
        <w:rFonts w:hint="default"/>
        <w:b w:val="0"/>
        <w:bCs w:val="0"/>
      </w:rPr>
    </w:lvl>
  </w:abstractNum>
  <w:num w:numId="1">
    <w:abstractNumId w:val="10"/>
  </w:num>
  <w:num w:numId="2">
    <w:abstractNumId w:val="22"/>
  </w:num>
  <w:num w:numId="3">
    <w:abstractNumId w:val="2"/>
  </w:num>
  <w:num w:numId="4">
    <w:abstractNumId w:val="16"/>
  </w:num>
  <w:num w:numId="5">
    <w:abstractNumId w:val="15"/>
  </w:num>
  <w:num w:numId="6">
    <w:abstractNumId w:val="7"/>
  </w:num>
  <w:num w:numId="7">
    <w:abstractNumId w:val="1"/>
  </w:num>
  <w:num w:numId="8">
    <w:abstractNumId w:val="4"/>
  </w:num>
  <w:num w:numId="9">
    <w:abstractNumId w:val="23"/>
  </w:num>
  <w:num w:numId="10">
    <w:abstractNumId w:val="5"/>
  </w:num>
  <w:num w:numId="11">
    <w:abstractNumId w:val="19"/>
  </w:num>
  <w:num w:numId="12">
    <w:abstractNumId w:val="17"/>
  </w:num>
  <w:num w:numId="13">
    <w:abstractNumId w:val="8"/>
  </w:num>
  <w:num w:numId="14">
    <w:abstractNumId w:val="11"/>
  </w:num>
  <w:num w:numId="15">
    <w:abstractNumId w:val="14"/>
  </w:num>
  <w:num w:numId="16">
    <w:abstractNumId w:val="0"/>
  </w:num>
  <w:num w:numId="17">
    <w:abstractNumId w:val="6"/>
  </w:num>
  <w:num w:numId="18">
    <w:abstractNumId w:val="3"/>
  </w:num>
  <w:num w:numId="19">
    <w:abstractNumId w:val="18"/>
  </w:num>
  <w:num w:numId="20">
    <w:abstractNumId w:val="9"/>
  </w:num>
  <w:num w:numId="21">
    <w:abstractNumId w:val="13"/>
  </w:num>
  <w:num w:numId="22">
    <w:abstractNumId w:val="12"/>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U2YTI0NDY2ZTBmZGRmNjFiYzg1Y2E3NTRhYWQifQ=="/>
  </w:docVars>
  <w:rsids>
    <w:rsidRoot w:val="00000000"/>
    <w:rsid w:val="014A102B"/>
    <w:rsid w:val="01572BB1"/>
    <w:rsid w:val="0270686F"/>
    <w:rsid w:val="028A2AE7"/>
    <w:rsid w:val="02FB26B6"/>
    <w:rsid w:val="030A0A85"/>
    <w:rsid w:val="0361522D"/>
    <w:rsid w:val="037144ED"/>
    <w:rsid w:val="038A57E4"/>
    <w:rsid w:val="03D75D72"/>
    <w:rsid w:val="04300AEA"/>
    <w:rsid w:val="04446205"/>
    <w:rsid w:val="046B3792"/>
    <w:rsid w:val="0482288A"/>
    <w:rsid w:val="0488199C"/>
    <w:rsid w:val="04940A72"/>
    <w:rsid w:val="0547719F"/>
    <w:rsid w:val="05574797"/>
    <w:rsid w:val="05722544"/>
    <w:rsid w:val="059654EB"/>
    <w:rsid w:val="05DA500C"/>
    <w:rsid w:val="063947D2"/>
    <w:rsid w:val="06677633"/>
    <w:rsid w:val="06EE2458"/>
    <w:rsid w:val="06F06311"/>
    <w:rsid w:val="077B31AC"/>
    <w:rsid w:val="078F7797"/>
    <w:rsid w:val="07987767"/>
    <w:rsid w:val="07A54926"/>
    <w:rsid w:val="07E775D3"/>
    <w:rsid w:val="07E9355D"/>
    <w:rsid w:val="08206641"/>
    <w:rsid w:val="091540FC"/>
    <w:rsid w:val="091D4B7D"/>
    <w:rsid w:val="09884AD3"/>
    <w:rsid w:val="099A0675"/>
    <w:rsid w:val="0A046B64"/>
    <w:rsid w:val="0A195873"/>
    <w:rsid w:val="0A5E0832"/>
    <w:rsid w:val="0A713694"/>
    <w:rsid w:val="0B291CB1"/>
    <w:rsid w:val="0BE81B6C"/>
    <w:rsid w:val="0BF45ACB"/>
    <w:rsid w:val="0D274271"/>
    <w:rsid w:val="0D49488C"/>
    <w:rsid w:val="0DBE7D67"/>
    <w:rsid w:val="0DF77E44"/>
    <w:rsid w:val="0E360B29"/>
    <w:rsid w:val="0E6B25E0"/>
    <w:rsid w:val="0EA1011C"/>
    <w:rsid w:val="0FC429B0"/>
    <w:rsid w:val="0FCB6EBE"/>
    <w:rsid w:val="0FD3535C"/>
    <w:rsid w:val="0FF4006F"/>
    <w:rsid w:val="108A6AFD"/>
    <w:rsid w:val="109763C9"/>
    <w:rsid w:val="10B908E8"/>
    <w:rsid w:val="10F845FF"/>
    <w:rsid w:val="10FD7E17"/>
    <w:rsid w:val="1102192B"/>
    <w:rsid w:val="11822B2D"/>
    <w:rsid w:val="11880CFD"/>
    <w:rsid w:val="1255782F"/>
    <w:rsid w:val="125B4710"/>
    <w:rsid w:val="127C6F3D"/>
    <w:rsid w:val="1288250E"/>
    <w:rsid w:val="12B11185"/>
    <w:rsid w:val="12BA7BB1"/>
    <w:rsid w:val="12BE52A0"/>
    <w:rsid w:val="1319648C"/>
    <w:rsid w:val="133D6BC5"/>
    <w:rsid w:val="1346017C"/>
    <w:rsid w:val="13973CC4"/>
    <w:rsid w:val="13C609E5"/>
    <w:rsid w:val="14445DAD"/>
    <w:rsid w:val="146E48EF"/>
    <w:rsid w:val="15DF5D8E"/>
    <w:rsid w:val="15FF5FFC"/>
    <w:rsid w:val="1668008F"/>
    <w:rsid w:val="166B5F72"/>
    <w:rsid w:val="166C4042"/>
    <w:rsid w:val="16746C32"/>
    <w:rsid w:val="16812791"/>
    <w:rsid w:val="16A12E53"/>
    <w:rsid w:val="16BE099A"/>
    <w:rsid w:val="16F05D79"/>
    <w:rsid w:val="172A3039"/>
    <w:rsid w:val="17E913A6"/>
    <w:rsid w:val="17F33D3A"/>
    <w:rsid w:val="181E2303"/>
    <w:rsid w:val="189A3B8F"/>
    <w:rsid w:val="18BF3C55"/>
    <w:rsid w:val="194505FE"/>
    <w:rsid w:val="198473F3"/>
    <w:rsid w:val="19D90F68"/>
    <w:rsid w:val="19DE7F45"/>
    <w:rsid w:val="1A424B3D"/>
    <w:rsid w:val="1A5A7968"/>
    <w:rsid w:val="1A6D4ABE"/>
    <w:rsid w:val="1AA10847"/>
    <w:rsid w:val="1AAE3F81"/>
    <w:rsid w:val="1ABA116E"/>
    <w:rsid w:val="1B2915DB"/>
    <w:rsid w:val="1B3B2705"/>
    <w:rsid w:val="1C1B5646"/>
    <w:rsid w:val="1C674A14"/>
    <w:rsid w:val="1D3F68D9"/>
    <w:rsid w:val="1D51661C"/>
    <w:rsid w:val="1D664B61"/>
    <w:rsid w:val="1D6E17A5"/>
    <w:rsid w:val="1D6E5A13"/>
    <w:rsid w:val="1DA4008D"/>
    <w:rsid w:val="1E2F7187"/>
    <w:rsid w:val="1E5D0CBB"/>
    <w:rsid w:val="1E5E4A6A"/>
    <w:rsid w:val="1E6C2189"/>
    <w:rsid w:val="1E8E28F2"/>
    <w:rsid w:val="1EA731C1"/>
    <w:rsid w:val="1ED0418C"/>
    <w:rsid w:val="1F274302"/>
    <w:rsid w:val="1F274B4E"/>
    <w:rsid w:val="1F410CF7"/>
    <w:rsid w:val="1F8B39D5"/>
    <w:rsid w:val="1F9E2816"/>
    <w:rsid w:val="1FA37E2C"/>
    <w:rsid w:val="1FB74CF6"/>
    <w:rsid w:val="1FCC441A"/>
    <w:rsid w:val="20126D60"/>
    <w:rsid w:val="20135C1B"/>
    <w:rsid w:val="20142B6E"/>
    <w:rsid w:val="201924CB"/>
    <w:rsid w:val="214C62A1"/>
    <w:rsid w:val="21690B86"/>
    <w:rsid w:val="21844799"/>
    <w:rsid w:val="218863D2"/>
    <w:rsid w:val="219A4F8F"/>
    <w:rsid w:val="21CD1600"/>
    <w:rsid w:val="224455F9"/>
    <w:rsid w:val="22AF0896"/>
    <w:rsid w:val="22BB4F82"/>
    <w:rsid w:val="22CE4ABA"/>
    <w:rsid w:val="231725C7"/>
    <w:rsid w:val="24281714"/>
    <w:rsid w:val="248A3369"/>
    <w:rsid w:val="24C658DF"/>
    <w:rsid w:val="254C3002"/>
    <w:rsid w:val="25AB0A2D"/>
    <w:rsid w:val="25C120E5"/>
    <w:rsid w:val="25C231C8"/>
    <w:rsid w:val="25CC33E0"/>
    <w:rsid w:val="26092253"/>
    <w:rsid w:val="264A06FA"/>
    <w:rsid w:val="266915B4"/>
    <w:rsid w:val="26917128"/>
    <w:rsid w:val="269C0E98"/>
    <w:rsid w:val="27934C2A"/>
    <w:rsid w:val="27A66E6A"/>
    <w:rsid w:val="27F54B9C"/>
    <w:rsid w:val="28B70993"/>
    <w:rsid w:val="28F811E9"/>
    <w:rsid w:val="294D7958"/>
    <w:rsid w:val="297665B1"/>
    <w:rsid w:val="2A5341FD"/>
    <w:rsid w:val="2AB72193"/>
    <w:rsid w:val="2B223E4E"/>
    <w:rsid w:val="2B2A751A"/>
    <w:rsid w:val="2B42499D"/>
    <w:rsid w:val="2B555710"/>
    <w:rsid w:val="2B5F66B9"/>
    <w:rsid w:val="2B667F60"/>
    <w:rsid w:val="2BDD0222"/>
    <w:rsid w:val="2BE114B7"/>
    <w:rsid w:val="2BEB171C"/>
    <w:rsid w:val="2C071743"/>
    <w:rsid w:val="2C832700"/>
    <w:rsid w:val="2C8E4A32"/>
    <w:rsid w:val="2C974627"/>
    <w:rsid w:val="2CE35D0C"/>
    <w:rsid w:val="2D0108F6"/>
    <w:rsid w:val="2D960FD0"/>
    <w:rsid w:val="2E5F7614"/>
    <w:rsid w:val="2E982B26"/>
    <w:rsid w:val="2EA62316"/>
    <w:rsid w:val="2EA72D69"/>
    <w:rsid w:val="2F3E5962"/>
    <w:rsid w:val="2F661040"/>
    <w:rsid w:val="2F7E1D1C"/>
    <w:rsid w:val="2FB61D87"/>
    <w:rsid w:val="2FE4791F"/>
    <w:rsid w:val="30202DD3"/>
    <w:rsid w:val="30CB557B"/>
    <w:rsid w:val="30D13E30"/>
    <w:rsid w:val="30D6728F"/>
    <w:rsid w:val="30E545B4"/>
    <w:rsid w:val="30F54260"/>
    <w:rsid w:val="31584FB6"/>
    <w:rsid w:val="317B1694"/>
    <w:rsid w:val="31811837"/>
    <w:rsid w:val="31E61302"/>
    <w:rsid w:val="3272469C"/>
    <w:rsid w:val="331A5044"/>
    <w:rsid w:val="33250631"/>
    <w:rsid w:val="333F7A14"/>
    <w:rsid w:val="33AF6948"/>
    <w:rsid w:val="345F25C7"/>
    <w:rsid w:val="3485231F"/>
    <w:rsid w:val="349B511E"/>
    <w:rsid w:val="34C74165"/>
    <w:rsid w:val="3506491D"/>
    <w:rsid w:val="356D3A0C"/>
    <w:rsid w:val="35EB79DF"/>
    <w:rsid w:val="36321AB2"/>
    <w:rsid w:val="363870C8"/>
    <w:rsid w:val="36716A47"/>
    <w:rsid w:val="36D15D4C"/>
    <w:rsid w:val="36FE4C94"/>
    <w:rsid w:val="374B2E2B"/>
    <w:rsid w:val="375A306E"/>
    <w:rsid w:val="38262F51"/>
    <w:rsid w:val="3838181B"/>
    <w:rsid w:val="38C60291"/>
    <w:rsid w:val="39012453"/>
    <w:rsid w:val="39317DFF"/>
    <w:rsid w:val="3951684D"/>
    <w:rsid w:val="3A173661"/>
    <w:rsid w:val="3A1C2250"/>
    <w:rsid w:val="3A5C6173"/>
    <w:rsid w:val="3AC568A1"/>
    <w:rsid w:val="3ACA050B"/>
    <w:rsid w:val="3B9603ED"/>
    <w:rsid w:val="3BDD601C"/>
    <w:rsid w:val="3C2974B3"/>
    <w:rsid w:val="3C5A766D"/>
    <w:rsid w:val="3C917EF7"/>
    <w:rsid w:val="3D40584B"/>
    <w:rsid w:val="3D662ED4"/>
    <w:rsid w:val="3D884299"/>
    <w:rsid w:val="3DAC250F"/>
    <w:rsid w:val="3DB741C7"/>
    <w:rsid w:val="3E2D5039"/>
    <w:rsid w:val="3E9E56E4"/>
    <w:rsid w:val="3ECA7D3F"/>
    <w:rsid w:val="3EED420A"/>
    <w:rsid w:val="3EEE3BB1"/>
    <w:rsid w:val="3F170963"/>
    <w:rsid w:val="3FCE5795"/>
    <w:rsid w:val="3FFF0C57"/>
    <w:rsid w:val="4033445D"/>
    <w:rsid w:val="404373D2"/>
    <w:rsid w:val="40692574"/>
    <w:rsid w:val="408178BE"/>
    <w:rsid w:val="40DC2D46"/>
    <w:rsid w:val="410202BD"/>
    <w:rsid w:val="412F731A"/>
    <w:rsid w:val="416A1DC3"/>
    <w:rsid w:val="416C26DC"/>
    <w:rsid w:val="418014A3"/>
    <w:rsid w:val="421753A0"/>
    <w:rsid w:val="42686159"/>
    <w:rsid w:val="42B37AD7"/>
    <w:rsid w:val="43301127"/>
    <w:rsid w:val="436F037C"/>
    <w:rsid w:val="43BC0502"/>
    <w:rsid w:val="43D16E40"/>
    <w:rsid w:val="448259B3"/>
    <w:rsid w:val="451531B5"/>
    <w:rsid w:val="456F2434"/>
    <w:rsid w:val="46670035"/>
    <w:rsid w:val="46B8390E"/>
    <w:rsid w:val="476C2551"/>
    <w:rsid w:val="47A01BF3"/>
    <w:rsid w:val="47A11CAD"/>
    <w:rsid w:val="47DE73A4"/>
    <w:rsid w:val="47E631F3"/>
    <w:rsid w:val="47F35500"/>
    <w:rsid w:val="48052B82"/>
    <w:rsid w:val="487B178B"/>
    <w:rsid w:val="48DC521B"/>
    <w:rsid w:val="48F84495"/>
    <w:rsid w:val="492928A1"/>
    <w:rsid w:val="498854B9"/>
    <w:rsid w:val="4A0C24A1"/>
    <w:rsid w:val="4A264ABA"/>
    <w:rsid w:val="4B0B166B"/>
    <w:rsid w:val="4B673A74"/>
    <w:rsid w:val="4B7B5326"/>
    <w:rsid w:val="4C783C43"/>
    <w:rsid w:val="4CCA2F54"/>
    <w:rsid w:val="4D117C43"/>
    <w:rsid w:val="4D2C1BD9"/>
    <w:rsid w:val="4D8A4354"/>
    <w:rsid w:val="4DA32CC5"/>
    <w:rsid w:val="4DA80305"/>
    <w:rsid w:val="4E5456AD"/>
    <w:rsid w:val="4E9B7D9D"/>
    <w:rsid w:val="4F0E1F8A"/>
    <w:rsid w:val="4F5F0DCA"/>
    <w:rsid w:val="4F6C6F28"/>
    <w:rsid w:val="50DD469C"/>
    <w:rsid w:val="51065298"/>
    <w:rsid w:val="512C73D2"/>
    <w:rsid w:val="51360251"/>
    <w:rsid w:val="514079F2"/>
    <w:rsid w:val="51E25CE3"/>
    <w:rsid w:val="51F067FF"/>
    <w:rsid w:val="51FA2E37"/>
    <w:rsid w:val="52927709"/>
    <w:rsid w:val="53AD4EF4"/>
    <w:rsid w:val="542C1497"/>
    <w:rsid w:val="544C6A3E"/>
    <w:rsid w:val="545317BB"/>
    <w:rsid w:val="54710C43"/>
    <w:rsid w:val="547F3CBD"/>
    <w:rsid w:val="550541C2"/>
    <w:rsid w:val="55241A34"/>
    <w:rsid w:val="55570796"/>
    <w:rsid w:val="55C32FAD"/>
    <w:rsid w:val="55F024A5"/>
    <w:rsid w:val="562B400A"/>
    <w:rsid w:val="5637686F"/>
    <w:rsid w:val="569C19C2"/>
    <w:rsid w:val="56B215F3"/>
    <w:rsid w:val="56F86B1D"/>
    <w:rsid w:val="58164684"/>
    <w:rsid w:val="58232862"/>
    <w:rsid w:val="59C04B5B"/>
    <w:rsid w:val="5A353772"/>
    <w:rsid w:val="5A4171CF"/>
    <w:rsid w:val="5AB53865"/>
    <w:rsid w:val="5AE40D1D"/>
    <w:rsid w:val="5B4672E2"/>
    <w:rsid w:val="5BCF1086"/>
    <w:rsid w:val="5BD46913"/>
    <w:rsid w:val="5C657C3C"/>
    <w:rsid w:val="5C8A7944"/>
    <w:rsid w:val="5C8B390B"/>
    <w:rsid w:val="5C8B6FBB"/>
    <w:rsid w:val="5C9255E4"/>
    <w:rsid w:val="5CAE05F8"/>
    <w:rsid w:val="5D617A99"/>
    <w:rsid w:val="5D691328"/>
    <w:rsid w:val="5D9A3915"/>
    <w:rsid w:val="5DC3772A"/>
    <w:rsid w:val="5E006433"/>
    <w:rsid w:val="5E0D129D"/>
    <w:rsid w:val="5E3A65BA"/>
    <w:rsid w:val="5EA44A4C"/>
    <w:rsid w:val="5EF24309"/>
    <w:rsid w:val="5EFC52C7"/>
    <w:rsid w:val="5EFF1C82"/>
    <w:rsid w:val="6022031E"/>
    <w:rsid w:val="602B58C1"/>
    <w:rsid w:val="605129B1"/>
    <w:rsid w:val="6116401B"/>
    <w:rsid w:val="612D013D"/>
    <w:rsid w:val="61781F06"/>
    <w:rsid w:val="61884004"/>
    <w:rsid w:val="62172F11"/>
    <w:rsid w:val="62483940"/>
    <w:rsid w:val="6293745C"/>
    <w:rsid w:val="62FA10DE"/>
    <w:rsid w:val="632A7129"/>
    <w:rsid w:val="63A4104A"/>
    <w:rsid w:val="63AA238E"/>
    <w:rsid w:val="63B96295"/>
    <w:rsid w:val="63F7263D"/>
    <w:rsid w:val="63FF58F8"/>
    <w:rsid w:val="64512203"/>
    <w:rsid w:val="647B4A42"/>
    <w:rsid w:val="647E0BAA"/>
    <w:rsid w:val="64867B99"/>
    <w:rsid w:val="648D60AB"/>
    <w:rsid w:val="648F12D9"/>
    <w:rsid w:val="64A311E2"/>
    <w:rsid w:val="65130235"/>
    <w:rsid w:val="653E10FC"/>
    <w:rsid w:val="65E16585"/>
    <w:rsid w:val="6612673F"/>
    <w:rsid w:val="663F7769"/>
    <w:rsid w:val="67193AFD"/>
    <w:rsid w:val="673F21F8"/>
    <w:rsid w:val="673F428B"/>
    <w:rsid w:val="6772202E"/>
    <w:rsid w:val="67895B2A"/>
    <w:rsid w:val="67BA3CA2"/>
    <w:rsid w:val="67E20393"/>
    <w:rsid w:val="67E72A03"/>
    <w:rsid w:val="68181E4B"/>
    <w:rsid w:val="68B977C1"/>
    <w:rsid w:val="692544AC"/>
    <w:rsid w:val="69770C2A"/>
    <w:rsid w:val="6A5C61DA"/>
    <w:rsid w:val="6B1D73B4"/>
    <w:rsid w:val="6B552B72"/>
    <w:rsid w:val="6BD0495B"/>
    <w:rsid w:val="6BD821D8"/>
    <w:rsid w:val="6BDA7CFF"/>
    <w:rsid w:val="6BDF3567"/>
    <w:rsid w:val="6C0D2F4F"/>
    <w:rsid w:val="6C1D1826"/>
    <w:rsid w:val="6C3F7B62"/>
    <w:rsid w:val="6D3A5584"/>
    <w:rsid w:val="6D400035"/>
    <w:rsid w:val="6D574538"/>
    <w:rsid w:val="6D875C64"/>
    <w:rsid w:val="6ECE1671"/>
    <w:rsid w:val="6F1E7E0E"/>
    <w:rsid w:val="6F2562BF"/>
    <w:rsid w:val="6FE17F66"/>
    <w:rsid w:val="701B08E6"/>
    <w:rsid w:val="705F171E"/>
    <w:rsid w:val="70952446"/>
    <w:rsid w:val="71AD1673"/>
    <w:rsid w:val="71C21E2A"/>
    <w:rsid w:val="722E4900"/>
    <w:rsid w:val="729832B2"/>
    <w:rsid w:val="72AC3B1C"/>
    <w:rsid w:val="72C40DC1"/>
    <w:rsid w:val="730B18C4"/>
    <w:rsid w:val="73104006"/>
    <w:rsid w:val="737E02D0"/>
    <w:rsid w:val="73A06A59"/>
    <w:rsid w:val="73A455E5"/>
    <w:rsid w:val="73CD1EF7"/>
    <w:rsid w:val="74765956"/>
    <w:rsid w:val="74F17E67"/>
    <w:rsid w:val="758D6E73"/>
    <w:rsid w:val="761924FD"/>
    <w:rsid w:val="7642029A"/>
    <w:rsid w:val="7671300D"/>
    <w:rsid w:val="76733229"/>
    <w:rsid w:val="76811FE9"/>
    <w:rsid w:val="771E31DC"/>
    <w:rsid w:val="773A6784"/>
    <w:rsid w:val="77615344"/>
    <w:rsid w:val="77726B3F"/>
    <w:rsid w:val="77752FD1"/>
    <w:rsid w:val="77A70462"/>
    <w:rsid w:val="78281DF2"/>
    <w:rsid w:val="784453BD"/>
    <w:rsid w:val="78500929"/>
    <w:rsid w:val="79AC5112"/>
    <w:rsid w:val="79D23F84"/>
    <w:rsid w:val="79FE11F9"/>
    <w:rsid w:val="7A2B7977"/>
    <w:rsid w:val="7A2C0AE0"/>
    <w:rsid w:val="7AAD2B01"/>
    <w:rsid w:val="7AD22BA3"/>
    <w:rsid w:val="7B147C05"/>
    <w:rsid w:val="7B262113"/>
    <w:rsid w:val="7BC55BAB"/>
    <w:rsid w:val="7BD54A1F"/>
    <w:rsid w:val="7C926EF8"/>
    <w:rsid w:val="7CDF7F9B"/>
    <w:rsid w:val="7D0A5F6A"/>
    <w:rsid w:val="7D654BC2"/>
    <w:rsid w:val="7D6E03EA"/>
    <w:rsid w:val="7DA61899"/>
    <w:rsid w:val="7DBB7604"/>
    <w:rsid w:val="7DE3420C"/>
    <w:rsid w:val="7E132BFC"/>
    <w:rsid w:val="7E3B7FEE"/>
    <w:rsid w:val="7E912487"/>
    <w:rsid w:val="7E925766"/>
    <w:rsid w:val="7ECA014D"/>
    <w:rsid w:val="7EE62096"/>
    <w:rsid w:val="7EE96C74"/>
    <w:rsid w:val="7F1F612B"/>
    <w:rsid w:val="7F213B20"/>
    <w:rsid w:val="7F576C64"/>
    <w:rsid w:val="7FB328E9"/>
    <w:rsid w:val="7FC4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spacing w:line="384" w:lineRule="exact"/>
      <w:ind w:right="-364" w:rightChars="-364"/>
    </w:pPr>
    <w:rPr>
      <w:rFonts w:ascii="宋体" w:hAnsi="宋体" w:eastAsia="宋体" w:cs="宋体"/>
      <w:szCs w:val="21"/>
      <w:lang w:val="ca-ES" w:eastAsia="ca-ES" w:bidi="ca-ES"/>
    </w:r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9242"/>
      </w:tabs>
      <w:spacing w:beforeLines="25" w:afterLines="25"/>
      <w:jc w:val="left"/>
    </w:pPr>
    <w:rPr>
      <w:rFonts w:ascii="宋体"/>
      <w:szCs w:val="21"/>
    </w:rPr>
  </w:style>
  <w:style w:type="paragraph" w:styleId="9">
    <w:name w:val="toc 2"/>
    <w:basedOn w:val="8"/>
    <w:next w:val="1"/>
    <w:semiHidden/>
    <w:qFormat/>
    <w:uiPriority w:val="0"/>
    <w:rPr>
      <w:rFonts w:ascii="宋体"/>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其他标准标志"/>
    <w:basedOn w:val="16"/>
    <w:qFormat/>
    <w:uiPriority w:val="0"/>
    <w:pPr>
      <w:framePr w:w="6101" w:vAnchor="page" w:hAnchor="page" w:x="4673" w:y="942"/>
    </w:pPr>
    <w:rPr>
      <w:w w:val="130"/>
    </w:rPr>
  </w:style>
  <w:style w:type="paragraph" w:customStyle="1" w:styleId="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1">
    <w:name w:val="封面标准英文名称"/>
    <w:basedOn w:val="20"/>
    <w:qFormat/>
    <w:uiPriority w:val="0"/>
    <w:pPr>
      <w:spacing w:before="370" w:line="400" w:lineRule="exact"/>
    </w:pPr>
    <w:rPr>
      <w:rFonts w:ascii="Times New Roman"/>
      <w:sz w:val="28"/>
      <w:szCs w:val="28"/>
    </w:rPr>
  </w:style>
  <w:style w:type="paragraph" w:customStyle="1" w:styleId="22">
    <w:name w:val="封面一致性程度标识"/>
    <w:basedOn w:val="21"/>
    <w:qFormat/>
    <w:uiPriority w:val="0"/>
    <w:pPr>
      <w:spacing w:before="440"/>
    </w:pPr>
    <w:rPr>
      <w:rFonts w:ascii="宋体" w:eastAsia="宋体"/>
    </w:rPr>
  </w:style>
  <w:style w:type="paragraph" w:customStyle="1" w:styleId="23">
    <w:name w:val="封面标准文稿类别"/>
    <w:basedOn w:val="22"/>
    <w:qFormat/>
    <w:uiPriority w:val="0"/>
    <w:pPr>
      <w:spacing w:after="160" w:line="240" w:lineRule="auto"/>
    </w:pPr>
    <w:rPr>
      <w:sz w:val="24"/>
    </w:rPr>
  </w:style>
  <w:style w:type="paragraph" w:customStyle="1" w:styleId="24">
    <w:name w:val="封面标准文稿编辑信息"/>
    <w:basedOn w:val="23"/>
    <w:qFormat/>
    <w:uiPriority w:val="0"/>
    <w:pPr>
      <w:spacing w:before="180" w:line="180" w:lineRule="exact"/>
    </w:pPr>
    <w:rPr>
      <w:sz w:val="21"/>
    </w:rPr>
  </w:style>
  <w:style w:type="paragraph" w:customStyle="1" w:styleId="25">
    <w:name w:val="其他发布日期"/>
    <w:basedOn w:val="26"/>
    <w:qFormat/>
    <w:uiPriority w:val="0"/>
    <w:pPr>
      <w:framePr w:vAnchor="page" w:hAnchor="text" w:x="1419"/>
    </w:pPr>
  </w:style>
  <w:style w:type="paragraph" w:customStyle="1" w:styleId="26">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27">
    <w:name w:val="其他实施日期"/>
    <w:basedOn w:val="28"/>
    <w:qFormat/>
    <w:uiPriority w:val="0"/>
  </w:style>
  <w:style w:type="paragraph" w:customStyle="1" w:styleId="28">
    <w:name w:val="实施日期"/>
    <w:basedOn w:val="26"/>
    <w:qFormat/>
    <w:uiPriority w:val="0"/>
    <w:pPr>
      <w:framePr w:vAnchor="page" w:hAnchor="text"/>
      <w:jc w:val="right"/>
    </w:pPr>
  </w:style>
  <w:style w:type="paragraph" w:customStyle="1" w:styleId="29">
    <w:name w:val="其他发布部门"/>
    <w:basedOn w:val="30"/>
    <w:qFormat/>
    <w:uiPriority w:val="0"/>
    <w:pPr>
      <w:framePr w:y="15310"/>
      <w:spacing w:line="0" w:lineRule="atLeast"/>
    </w:pPr>
    <w:rPr>
      <w:rFonts w:ascii="黑体" w:eastAsia="黑体"/>
      <w:b w:val="0"/>
    </w:rPr>
  </w:style>
  <w:style w:type="paragraph" w:customStyle="1" w:styleId="30">
    <w:name w:val="发布部门"/>
    <w:next w:val="31"/>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2">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3">
    <w:name w:val="标准书眉_偶数页"/>
    <w:basedOn w:val="32"/>
    <w:next w:val="1"/>
    <w:qFormat/>
    <w:uiPriority w:val="0"/>
    <w:pPr>
      <w:jc w:val="left"/>
    </w:pPr>
  </w:style>
  <w:style w:type="paragraph" w:customStyle="1" w:styleId="34">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35">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36">
    <w:name w:val="章标题"/>
    <w:next w:val="31"/>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37">
    <w:name w:val="一级条标题"/>
    <w:next w:val="31"/>
    <w:qFormat/>
    <w:uiPriority w:val="0"/>
    <w:pPr>
      <w:numPr>
        <w:ilvl w:val="1"/>
        <w:numId w:val="1"/>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38">
    <w:name w:val="二级条标题"/>
    <w:basedOn w:val="37"/>
    <w:next w:val="31"/>
    <w:qFormat/>
    <w:uiPriority w:val="0"/>
    <w:pPr>
      <w:numPr>
        <w:ilvl w:val="2"/>
      </w:numPr>
      <w:tabs>
        <w:tab w:val="left" w:pos="0"/>
      </w:tabs>
      <w:spacing w:before="50" w:after="50"/>
      <w:ind w:left="0" w:firstLine="0"/>
      <w:outlineLvl w:val="3"/>
    </w:pPr>
    <w:rPr>
      <w:rFonts w:ascii="黑体" w:hAnsi="黑体" w:eastAsia="黑体"/>
      <w:sz w:val="21"/>
      <w:szCs w:val="21"/>
      <w:lang w:val="en-US" w:eastAsia="zh-CN" w:bidi="ar-SA"/>
    </w:rPr>
  </w:style>
  <w:style w:type="paragraph" w:customStyle="1" w:styleId="39">
    <w:name w:val="三级条标题"/>
    <w:basedOn w:val="38"/>
    <w:next w:val="31"/>
    <w:qFormat/>
    <w:uiPriority w:val="0"/>
    <w:pPr>
      <w:numPr>
        <w:ilvl w:val="3"/>
      </w:numPr>
      <w:ind w:left="0"/>
      <w:outlineLvl w:val="4"/>
    </w:pPr>
    <w:rPr>
      <w:rFonts w:ascii="黑体" w:hAnsi="黑体" w:eastAsia="黑体"/>
      <w:sz w:val="21"/>
      <w:szCs w:val="21"/>
      <w:lang w:val="en-US" w:eastAsia="zh-CN" w:bidi="ar-SA"/>
    </w:rPr>
  </w:style>
  <w:style w:type="paragraph" w:customStyle="1" w:styleId="40">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
    <w:name w:val="终结线"/>
    <w:basedOn w:val="1"/>
    <w:qFormat/>
    <w:uiPriority w:val="0"/>
    <w:pPr>
      <w:framePr w:hSpace="181" w:vSpace="181" w:wrap="around" w:vAnchor="text" w:hAnchor="margin" w:xAlign="center" w:y="285"/>
    </w:pPr>
  </w:style>
  <w:style w:type="paragraph" w:customStyle="1" w:styleId="4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3">
    <w:name w:val="一级附录"/>
    <w:basedOn w:val="1"/>
    <w:qFormat/>
    <w:uiPriority w:val="0"/>
    <w:pPr>
      <w:numPr>
        <w:ilvl w:val="0"/>
        <w:numId w:val="3"/>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表格文字"/>
    <w:basedOn w:val="1"/>
    <w:qFormat/>
    <w:uiPriority w:val="0"/>
    <w:pPr>
      <w:spacing w:line="360" w:lineRule="auto"/>
    </w:pPr>
    <w:rPr>
      <w:rFonts w:hint="eastAsia"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8261</Words>
  <Characters>9069</Characters>
  <Lines>0</Lines>
  <Paragraphs>0</Paragraphs>
  <TotalTime>0</TotalTime>
  <ScaleCrop>false</ScaleCrop>
  <LinksUpToDate>false</LinksUpToDate>
  <CharactersWithSpaces>9389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2022-11-01T00:39:00Z</dcterms:created>
  <dc:creator>TOSHIBA</dc:creator>
  <cp:lastModifiedBy>李佳丽</cp:lastModifiedBy>
  <dcterms:modified xsi:type="dcterms:W3CDTF">2023-07-31T06:00:42Z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59F053013C44475AB8E599366B2AEDE2_13</vt:lpwstr>
  </property>
</Properties>
</file>