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framePr w:wrap="around"/>
        <w:spacing w:line="360" w:lineRule="auto"/>
        <w:rPr>
          <w:rFonts w:hint="eastAsia" w:ascii="黑体" w:hAnsi="黑体" w:eastAsia="黑体" w:cs="黑体"/>
          <w:color w:val="auto"/>
          <w:highlight w:val="none"/>
        </w:rPr>
      </w:pPr>
      <w:bookmarkStart w:id="0" w:name="StandardName"/>
      <w:r>
        <w:rPr>
          <w:rFonts w:hint="eastAsia" w:ascii="黑体" w:hAnsi="黑体" w:eastAsia="黑体" w:cs="黑体"/>
          <w:color w:val="auto"/>
          <w:highlight w:val="none"/>
        </w:rPr>
        <w:t>ICS</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9854" w:type="dxa"/>
            <w:tcBorders>
              <w:top w:val="nil"/>
              <w:left w:val="nil"/>
              <w:bottom w:val="nil"/>
              <w:right w:val="nil"/>
            </w:tcBorders>
          </w:tcPr>
          <w:p>
            <w:pPr>
              <w:pStyle w:val="29"/>
              <w:framePr w:wrap="around"/>
              <w:spacing w:line="360" w:lineRule="auto"/>
              <w:rPr>
                <w:rFonts w:hint="eastAsia" w:ascii="黑体" w:hAnsi="黑体" w:eastAsia="黑体" w:cs="黑体"/>
                <w:color w:val="auto"/>
                <w:highlight w:val="none"/>
              </w:rPr>
            </w:pPr>
            <w:r>
              <w:rPr>
                <w:rFonts w:hint="eastAsia" w:ascii="黑体" w:hAnsi="黑体" w:eastAsia="黑体" w:cs="黑体"/>
                <w:color w:val="auto"/>
                <w:highlight w:val="none"/>
              </w:rPr>
              <w:t>CCS</w:t>
            </w:r>
            <w:r>
              <w:rPr>
                <w:rFonts w:hint="eastAsia" w:ascii="黑体" w:hAnsi="黑体" w:eastAsia="黑体" w:cs="黑体"/>
                <w:color w:val="auto"/>
                <w:highlight w:val="none"/>
              </w:rPr>
              <mc:AlternateContent>
                <mc:Choice Requires="wps">
                  <w:drawing>
                    <wp:anchor distT="0" distB="0" distL="114300" distR="114300" simplePos="0" relativeHeight="251668480" behindDoc="1" locked="0" layoutInCell="1" allowOverlap="1">
                      <wp:simplePos x="0" y="0"/>
                      <wp:positionH relativeFrom="column">
                        <wp:posOffset>85725</wp:posOffset>
                      </wp:positionH>
                      <wp:positionV relativeFrom="paragraph">
                        <wp:posOffset>152400</wp:posOffset>
                      </wp:positionV>
                      <wp:extent cx="866775" cy="198120"/>
                      <wp:effectExtent l="0" t="0" r="1905" b="0"/>
                      <wp:wrapNone/>
                      <wp:docPr id="7" name="矩形 7"/>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pPr>
                                    <w:rPr>
                                      <w:color w:val="FFFFFF" w:themeColor="background1"/>
                                      <w14:textFill>
                                        <w14:noFill/>
                                      </w14:textFill>
                                    </w:rPr>
                                  </w:pPr>
                                </w:p>
                              </w:txbxContent>
                            </wps:txbx>
                            <wps:bodyPr upright="1"/>
                          </wps:wsp>
                        </a:graphicData>
                      </a:graphic>
                    </wp:anchor>
                  </w:drawing>
                </mc:Choice>
                <mc:Fallback>
                  <w:pict>
                    <v:rect id="_x0000_s1026" o:spid="_x0000_s1026" o:spt="1" style="position:absolute;left:0pt;margin-left:6.75pt;margin-top:12pt;height:15.6pt;width:68.25pt;z-index:-251648000;mso-width-relative:page;mso-height-relative:page;" fillcolor="#FFFFFF" filled="t" stroked="f" coordsize="21600,21600" o:gfxdata="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iS01zVAAAACAEAAA8AAAAAAAAAAQAgAAAAIgAAAGRycy9kb3ducmV2LnhtbFBLAQIUABQAAAAI&#10;AIdO4kA5844otwEAAGkDAAAOAAAAAAAAAAEAIAAAACQBAABkcnMvZTJvRG9jLnhtbFBLBQYAAAAA&#10;BgAGAFkBAABNBQAAAAA=&#10;">
                      <v:fill on="t" focussize="0,0"/>
                      <v:stroke on="f"/>
                      <v:imagedata o:title=""/>
                      <o:lock v:ext="edit" aspectratio="f"/>
                      <v:textbox>
                        <w:txbxContent>
                          <w:p>
                            <w:pPr>
                              <w:rPr>
                                <w:color w:val="FFFFFF" w:themeColor="background1"/>
                                <w14:textFill>
                                  <w14:noFill/>
                                </w14:textFill>
                              </w:rPr>
                            </w:pPr>
                          </w:p>
                        </w:txbxContent>
                      </v:textbox>
                    </v:rect>
                  </w:pict>
                </mc:Fallback>
              </mc:AlternateContent>
            </w:r>
            <w:bookmarkStart w:id="792" w:name="_GoBack"/>
            <w:bookmarkEnd w:id="792"/>
            <w:r>
              <w:rPr>
                <w:rFonts w:hint="eastAsia" w:ascii="黑体" w:hAnsi="黑体" w:eastAsia="黑体" w:cs="黑体"/>
                <w:color w:val="auto"/>
                <w:highlight w:val="none"/>
              </w:rPr>
              <mc:AlternateContent>
                <mc:Choice Requires="wps">
                  <w:drawing>
                    <wp:anchor distT="0" distB="0" distL="114300" distR="114300" simplePos="0" relativeHeight="251667456"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2" name="矩形 2"/>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5.25pt;margin-top:0pt;height:15.6pt;width:68.25pt;z-index:-25164902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uL+zVAAAABwEAAA8AAAAAAAAAAQAgAAAAIgAAAGRycy9kb3ducmV2LnhtbFBLAQIUABQAAAAI&#10;AIdO4kDP6bJptwEAAGkDAAAOAAAAAAAAAAEAIAAAACQBAABkcnMvZTJvRG9jLnhtbFBLBQYAAAAA&#10;BgAGAFkBAABNBQAAAAA=&#10;">
                      <v:fill on="t" focussize="0,0"/>
                      <v:stroke on="f"/>
                      <v:imagedata o:title=""/>
                      <o:lock v:ext="edit" aspectratio="f"/>
                      <v:textbox>
                        <w:txbxContent>
                          <w:p/>
                        </w:txbxContent>
                      </v:textbox>
                    </v:rect>
                  </w:pict>
                </mc:Fallback>
              </mc:AlternateContent>
            </w:r>
          </w:p>
        </w:tc>
      </w:tr>
    </w:tbl>
    <w:p>
      <w:pPr>
        <w:pStyle w:val="30"/>
        <w:framePr w:wrap="around"/>
        <w:shd w:val="clear" w:color="FFFFFF" w:fill="FFFFFF"/>
        <w:spacing w:line="360" w:lineRule="auto"/>
        <w:rPr>
          <w:color w:val="auto"/>
          <w:highlight w:val="none"/>
        </w:rPr>
      </w:pPr>
      <w:r>
        <w:rPr>
          <w:color w:val="auto"/>
          <w:highlight w:val="none"/>
        </w:rPr>
        <w:t>DB</w:t>
      </w:r>
      <w:r>
        <w:rPr>
          <w:rFonts w:hint="eastAsia"/>
          <w:color w:val="auto"/>
          <w:highlight w:val="none"/>
        </w:rPr>
        <w:t>21</w:t>
      </w:r>
    </w:p>
    <w:p>
      <w:pPr>
        <w:pStyle w:val="32"/>
        <w:framePr w:wrap="around"/>
        <w:spacing w:line="360" w:lineRule="auto"/>
        <w:rPr>
          <w:color w:val="auto"/>
          <w:highlight w:val="none"/>
        </w:rPr>
      </w:pPr>
      <w:r>
        <w:rPr>
          <w:rFonts w:hint="eastAsia"/>
          <w:color w:val="auto"/>
          <w:highlight w:val="none"/>
        </w:rPr>
        <w:t>辽宁省地方标准</w:t>
      </w:r>
    </w:p>
    <w:p>
      <w:pPr>
        <w:pStyle w:val="33"/>
        <w:framePr w:wrap="around"/>
        <w:spacing w:line="360" w:lineRule="auto"/>
        <w:rPr>
          <w:rFonts w:hint="eastAsia" w:ascii="黑体" w:hAnsi="黑体" w:eastAsia="黑体" w:cs="黑体"/>
          <w:color w:val="auto"/>
          <w:highlight w:val="none"/>
        </w:rPr>
      </w:pPr>
      <w:r>
        <w:rPr>
          <w:rFonts w:hint="eastAsia" w:ascii="黑体" w:hAnsi="黑体" w:eastAsia="黑体" w:cs="黑体"/>
          <w:color w:val="auto"/>
          <w:highlight w:val="none"/>
        </w:rPr>
        <w:t>DB21/TXXXX—XXXX</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4"/>
              <w:framePr w:wrap="around"/>
              <w:spacing w:line="360" w:lineRule="auto"/>
              <w:rPr>
                <w:color w:val="auto"/>
                <w:highlight w:val="none"/>
              </w:rPr>
            </w:pPr>
          </w:p>
        </w:tc>
      </w:tr>
    </w:tbl>
    <w:p>
      <w:pPr>
        <w:pStyle w:val="33"/>
        <w:framePr w:wrap="around"/>
        <w:spacing w:line="360" w:lineRule="auto"/>
        <w:rPr>
          <w:color w:val="auto"/>
          <w:highlight w:val="none"/>
        </w:rPr>
      </w:pPr>
    </w:p>
    <w:p>
      <w:pPr>
        <w:pStyle w:val="33"/>
        <w:framePr w:wrap="around"/>
        <w:spacing w:line="360" w:lineRule="auto"/>
        <w:rPr>
          <w:color w:val="auto"/>
          <w:highlight w:val="none"/>
        </w:rPr>
      </w:pPr>
    </w:p>
    <w:p>
      <w:pPr>
        <w:pStyle w:val="35"/>
        <w:framePr w:wrap="around" w:x="1390" w:y="6437"/>
        <w:spacing w:line="360" w:lineRule="auto"/>
        <w:rPr>
          <w:rFonts w:hint="default" w:eastAsia="黑体"/>
          <w:color w:val="auto"/>
          <w:szCs w:val="22"/>
          <w:highlight w:val="none"/>
          <w:lang w:val="en-US" w:eastAsia="zh-CN"/>
        </w:rPr>
      </w:pPr>
      <w:r>
        <w:rPr>
          <w:rFonts w:hint="eastAsia"/>
          <w:color w:val="auto"/>
          <w:szCs w:val="22"/>
          <w:highlight w:val="none"/>
          <w:lang w:val="en-US" w:eastAsia="zh-CN"/>
        </w:rPr>
        <w:t>工业数据分类分级管理指南</w:t>
      </w:r>
    </w:p>
    <w:p>
      <w:pPr>
        <w:pStyle w:val="36"/>
        <w:framePr w:wrap="around" w:x="1390" w:y="6437"/>
        <w:spacing w:line="360" w:lineRule="auto"/>
        <w:rPr>
          <w:color w:val="auto"/>
          <w:highlight w:val="none"/>
        </w:rPr>
      </w:pPr>
    </w:p>
    <w:p>
      <w:pPr>
        <w:pStyle w:val="37"/>
        <w:framePr w:wrap="around" w:x="1390" w:y="6437"/>
        <w:spacing w:line="360" w:lineRule="auto"/>
        <w:rPr>
          <w:color w:val="auto"/>
          <w:highlight w:val="none"/>
        </w:rPr>
      </w:pPr>
      <w:r>
        <w:rPr>
          <w:rFonts w:hint="eastAsia" w:hAnsi="黑体" w:cs="黑体"/>
          <w:color w:val="auto"/>
          <w:highlight w:val="none"/>
        </w:rPr>
        <mc:AlternateContent>
          <mc:Choice Requires="wps">
            <w:drawing>
              <wp:anchor distT="0" distB="0" distL="114300" distR="114300" simplePos="0" relativeHeight="251665408" behindDoc="1" locked="0" layoutInCell="1" allowOverlap="1">
                <wp:simplePos x="0" y="0"/>
                <wp:positionH relativeFrom="page">
                  <wp:posOffset>3397250</wp:posOffset>
                </wp:positionH>
                <wp:positionV relativeFrom="page">
                  <wp:posOffset>5655310</wp:posOffset>
                </wp:positionV>
                <wp:extent cx="1270000" cy="304800"/>
                <wp:effectExtent l="0" t="0" r="10160" b="0"/>
                <wp:wrapNone/>
                <wp:docPr id="8" name="矩形 8"/>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267.5pt;margin-top:445.3pt;height:24pt;width:100pt;mso-position-horizontal-relative:page;mso-position-vertical-relative:page;z-index:-251651072;mso-width-relative:page;mso-height-relative:page;" fillcolor="#FFFFFF" filled="t" stroked="f" coordsize="21600,21600" o:gfxdata="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ggoYPYAAAACwEAAA8AAAAAAAAAAQAgAAAAIgAAAGRycy9kb3ducmV2LnhtbFBLAQIUABQAAAAI&#10;AIdO4kDvVaV1tAEAAGoDAAAOAAAAAAAAAAEAIAAAACcBAABkcnMvZTJvRG9jLnhtbFBLBQYAAAAA&#10;BgAGAFkBAABNBQAAAAA=&#10;">
                <v:fill on="t" focussize="0,0"/>
                <v:stroke on="f"/>
                <v:imagedata o:title=""/>
                <o:lock v:ext="edit" aspectratio="f"/>
                <v:textbox>
                  <w:txbxContent>
                    <w:p/>
                  </w:txbxContent>
                </v:textbox>
              </v:rect>
            </w:pict>
          </mc:Fallback>
        </mc:AlternateContent>
      </w:r>
      <w:r>
        <w:rPr>
          <w:rFonts w:hint="eastAsia"/>
          <w:color w:val="auto"/>
          <w:highlight w:val="none"/>
          <w:lang w:val="en-US" w:eastAsia="zh-CN"/>
        </w:rPr>
        <w:t>（征求意见稿）</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7"/>
              <w:framePr w:wrap="around" w:x="1390" w:y="6437"/>
              <w:spacing w:line="360" w:lineRule="auto"/>
              <w:rPr>
                <w:color w:val="auto"/>
                <w:highlight w:val="none"/>
              </w:rPr>
            </w:pPr>
            <w:r>
              <w:rPr>
                <w:rFonts w:hint="eastAsia"/>
                <w:color w:val="auto"/>
                <w:highlight w:val="none"/>
              </w:rPr>
              <w:t>在提交反馈意见时，请将您知道的相关专利连同支持性文件一并附上。</w:t>
            </w:r>
            <w:r>
              <w:rPr>
                <w:color w:val="auto"/>
                <w:highlight w:val="none"/>
              </w:rPr>
              <mc:AlternateContent>
                <mc:Choice Requires="wps">
                  <w:drawing>
                    <wp:anchor distT="0" distB="0" distL="114300" distR="114300" simplePos="0" relativeHeight="251666432" behindDoc="1" locked="1" layoutInCell="1" allowOverlap="1">
                      <wp:simplePos x="0" y="0"/>
                      <wp:positionH relativeFrom="column">
                        <wp:posOffset>2200910</wp:posOffset>
                      </wp:positionH>
                      <wp:positionV relativeFrom="paragraph">
                        <wp:posOffset>4281805</wp:posOffset>
                      </wp:positionV>
                      <wp:extent cx="1905000" cy="254000"/>
                      <wp:effectExtent l="0" t="0" r="0" b="5080"/>
                      <wp:wrapNone/>
                      <wp:docPr id="9" name="矩形 9"/>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73.3pt;margin-top:337.15pt;height:20pt;width:150pt;z-index:-25165004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1/fg1wAAAAsBAAAPAAAAAAAAAAEAIAAAACIAAABkcnMvZG93bnJldi54bWxQSwECFAAUAAAACACH&#10;TuJAgETJ2bMBAABqAwAADgAAAAAAAAABACAAAAAmAQAAZHJzL2Uyb0RvYy54bWxQSwUGAAAAAAYA&#10;BgBZAQAASwUAAAAA&#10;">
                      <v:fill on="t" focussize="0,0"/>
                      <v:stroke on="f"/>
                      <v:imagedata o:title=""/>
                      <o:lock v:ext="edit" aspectratio="f"/>
                      <v:textbox>
                        <w:txbxContent>
                          <w:p/>
                        </w:txbxContent>
                      </v:textbox>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9"/>
              <w:framePr w:wrap="around" w:x="1390" w:y="6437"/>
              <w:spacing w:line="360" w:lineRule="auto"/>
              <w:rPr>
                <w:color w:val="auto"/>
                <w:highlight w:val="none"/>
              </w:rPr>
            </w:pPr>
          </w:p>
        </w:tc>
      </w:tr>
    </w:tbl>
    <w:p>
      <w:pPr>
        <w:pStyle w:val="40"/>
        <w:framePr w:wrap="around" w:hAnchor="page" w:x="1549" w:y="14053"/>
        <w:spacing w:line="360" w:lineRule="auto"/>
        <w:rPr>
          <w:color w:val="auto"/>
          <w:highlight w:val="none"/>
        </w:rPr>
      </w:pPr>
      <w:r>
        <w:rPr>
          <w:rFonts w:ascii="宋体" w:hAnsi="宋体"/>
          <w:color w:val="auto"/>
          <w:highlight w:val="none"/>
        </w:rPr>
        <w:t>XXXX</w:t>
      </w:r>
      <w:r>
        <w:rPr>
          <w:rFonts w:ascii="黑体"/>
          <w:color w:val="auto"/>
          <w:highlight w:val="none"/>
        </w:rPr>
        <w:t>-</w:t>
      </w:r>
      <w:r>
        <w:rPr>
          <w:rFonts w:ascii="宋体" w:hAnsi="宋体"/>
          <w:color w:val="auto"/>
          <w:highlight w:val="none"/>
        </w:rPr>
        <w:t>XX</w:t>
      </w:r>
      <w:r>
        <w:rPr>
          <w:rFonts w:ascii="黑体"/>
          <w:color w:val="auto"/>
          <w:highlight w:val="none"/>
        </w:rPr>
        <w:t>-</w:t>
      </w:r>
      <w:r>
        <w:rPr>
          <w:rFonts w:ascii="宋体" w:hAnsi="宋体"/>
          <w:color w:val="auto"/>
          <w:highlight w:val="none"/>
        </w:rPr>
        <w:t>XX</w:t>
      </w:r>
      <w:r>
        <w:rPr>
          <w:rFonts w:hint="eastAsia"/>
          <w:color w:val="auto"/>
          <w:highlight w:val="none"/>
        </w:rPr>
        <w:t>发布</w:t>
      </w:r>
      <w:r>
        <w:rPr>
          <w:color w:val="auto"/>
          <w:highlight w:val="none"/>
        </w:rPr>
        <mc:AlternateContent>
          <mc:Choice Requires="wps">
            <w:drawing>
              <wp:anchor distT="0" distB="0" distL="114300" distR="114300" simplePos="0" relativeHeight="251669504" behindDoc="0" locked="1" layoutInCell="1" allowOverlap="1">
                <wp:simplePos x="0" y="0"/>
                <wp:positionH relativeFrom="column">
                  <wp:posOffset>3810</wp:posOffset>
                </wp:positionH>
                <wp:positionV relativeFrom="page">
                  <wp:posOffset>-3421380</wp:posOffset>
                </wp:positionV>
                <wp:extent cx="612013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3pt;margin-top:-269.4pt;height:0pt;width:481.9pt;mso-position-vertical-relative:page;z-index:251669504;mso-width-relative:page;mso-height-relative:page;" filled="f" stroked="t" coordsize="21600,21600" o:gfxdata="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XN&#10;SeHWAAAACgEAAA8AAAAAAAAAAQAgAAAAIgAAAGRycy9kb3ducmV2LnhtbFBLAQIUABQAAAAIAIdO&#10;4kBDcSyU7AEAANoDAAAOAAAAAAAAAAEAIAAAACUBAABkcnMvZTJvRG9jLnhtbFBLBQYAAAAABgAG&#10;AFkBAACDBQAAAAA=&#10;">
                <v:fill on="f" focussize="0,0"/>
                <v:stroke color="#000000" joinstyle="round"/>
                <v:imagedata o:title=""/>
                <o:lock v:ext="edit" aspectratio="f"/>
                <w10:anchorlock/>
              </v:line>
            </w:pict>
          </mc:Fallback>
        </mc:AlternateContent>
      </w:r>
    </w:p>
    <w:p>
      <w:pPr>
        <w:pStyle w:val="42"/>
        <w:framePr w:wrap="around" w:hAnchor="page" w:x="7006" w:y="13981"/>
        <w:spacing w:line="360" w:lineRule="auto"/>
        <w:rPr>
          <w:color w:val="auto"/>
          <w:highlight w:val="none"/>
        </w:rPr>
      </w:pPr>
      <w:r>
        <w:rPr>
          <w:rFonts w:ascii="宋体" w:hAnsi="宋体"/>
          <w:color w:val="auto"/>
          <w:highlight w:val="none"/>
        </w:rPr>
        <w:t>XXXX</w:t>
      </w:r>
      <w:r>
        <w:rPr>
          <w:rFonts w:ascii="黑体"/>
          <w:color w:val="auto"/>
          <w:highlight w:val="none"/>
        </w:rPr>
        <w:t>-</w:t>
      </w:r>
      <w:r>
        <w:rPr>
          <w:rFonts w:ascii="宋体" w:hAnsi="宋体"/>
          <w:color w:val="auto"/>
          <w:highlight w:val="none"/>
        </w:rPr>
        <w:t>XX</w:t>
      </w:r>
      <w:r>
        <w:rPr>
          <w:rFonts w:ascii="黑体"/>
          <w:color w:val="auto"/>
          <w:highlight w:val="none"/>
        </w:rPr>
        <w:t>-</w:t>
      </w:r>
      <w:r>
        <w:rPr>
          <w:rFonts w:ascii="宋体" w:hAnsi="宋体"/>
          <w:color w:val="auto"/>
          <w:highlight w:val="none"/>
        </w:rPr>
        <w:t>XX</w:t>
      </w:r>
      <w:r>
        <w:rPr>
          <w:rFonts w:hint="eastAsia"/>
          <w:color w:val="auto"/>
          <w:highlight w:val="none"/>
        </w:rPr>
        <w:t>实施</w:t>
      </w:r>
    </w:p>
    <w:p>
      <w:pPr>
        <w:pStyle w:val="44"/>
        <w:framePr w:wrap="around"/>
        <w:spacing w:line="360" w:lineRule="auto"/>
        <w:rPr>
          <w:rFonts w:hAnsi="黑体" w:cs="黑体"/>
          <w:color w:val="auto"/>
          <w:highlight w:val="none"/>
        </w:rPr>
      </w:pPr>
      <w:bookmarkStart w:id="1" w:name="fm"/>
      <w:r>
        <w:rPr>
          <w:rFonts w:hint="eastAsia" w:hAnsi="黑体" w:cs="黑体"/>
          <w:color w:val="auto"/>
          <w:w w:val="100"/>
          <w:highlight w:val="none"/>
        </w:rPr>
        <mc:AlternateContent>
          <mc:Choice Requires="wps">
            <w:drawing>
              <wp:anchor distT="0" distB="0" distL="114300" distR="114300" simplePos="0" relativeHeight="25166438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3" name="矩形 3"/>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47.55pt;margin-top:-585.45pt;height:18pt;width:90pt;z-index:-25165209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8mKEdoAAAAPAQAADwAAAAAAAAABACAAAAAiAAAAZHJzL2Rvd25yZXYueG1sUEsBAhQAFAAA&#10;AAgAh07iQJe7xUa0AQAAagMAAA4AAAAAAAAAAQAgAAAAKQEAAGRycy9lMm9Eb2MueG1sUEsFBgAA&#10;AAAGAAYAWQEAAE8FAAAAAA==&#10;">
                <v:fill on="t" focussize="0,0"/>
                <v:stroke on="f"/>
                <v:imagedata o:title=""/>
                <o:lock v:ext="edit" aspectratio="f"/>
                <v:textbox>
                  <w:txbxContent>
                    <w:p/>
                  </w:txbxContent>
                </v:textbox>
              </v:rect>
            </w:pict>
          </mc:Fallback>
        </mc:AlternateContent>
      </w:r>
      <w:bookmarkEnd w:id="1"/>
      <w:r>
        <w:rPr>
          <w:rFonts w:hint="eastAsia" w:hAnsi="黑体" w:cs="黑体"/>
          <w:color w:val="auto"/>
          <w:w w:val="100"/>
          <w:highlight w:val="none"/>
        </w:rPr>
        <w:t>辽宁省</w:t>
      </w:r>
      <w:r>
        <w:rPr>
          <w:rFonts w:hint="eastAsia" w:hAnsi="黑体" w:cs="黑体"/>
          <w:color w:val="auto"/>
          <w:w w:val="100"/>
          <w:szCs w:val="22"/>
          <w:highlight w:val="none"/>
        </w:rPr>
        <w:t>市场监督管理局　发布</w:t>
      </w:r>
    </w:p>
    <w:p>
      <w:pPr>
        <w:pStyle w:val="25"/>
        <w:spacing w:line="360" w:lineRule="auto"/>
        <w:rPr>
          <w:color w:val="auto"/>
          <w:highlight w:val="none"/>
        </w:rPr>
        <w:sectPr>
          <w:headerReference r:id="rId3" w:type="even"/>
          <w:footerReference r:id="rId4" w:type="even"/>
          <w:pgSz w:w="11906" w:h="16838"/>
          <w:pgMar w:top="567" w:right="1134" w:bottom="1134" w:left="1417" w:header="0" w:footer="0"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黑体" w:hAnsi="黑体" w:eastAsia="黑体" w:cs="黑体"/>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-635</wp:posOffset>
                </wp:positionH>
                <wp:positionV relativeFrom="paragraph">
                  <wp:posOffset>2333625</wp:posOffset>
                </wp:positionV>
                <wp:extent cx="6062345" cy="6350"/>
                <wp:effectExtent l="0" t="4445" r="3175" b="12065"/>
                <wp:wrapNone/>
                <wp:docPr id="11" name="直接连接符 11"/>
                <wp:cNvGraphicFramePr/>
                <a:graphic xmlns:a="http://schemas.openxmlformats.org/drawingml/2006/main">
                  <a:graphicData uri="http://schemas.microsoft.com/office/word/2010/wordprocessingShape">
                    <wps:wsp>
                      <wps:cNvCnPr/>
                      <wps:spPr>
                        <a:xfrm flipV="1">
                          <a:off x="0" y="0"/>
                          <a:ext cx="6062345"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05pt;margin-top:183.75pt;height:0.5pt;width:477.35pt;z-index:251670528;mso-width-relative:page;mso-height-relative:page;" filled="f" stroked="t" coordsize="21600,21600" o:gfxdata="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NvldgAAAAJAQAADwAAAAAAAAABACAAAAAiAAAAZHJzL2Rvd25yZXYueG1s&#10;UEsBAhQAFAAAAAgAh07iQJ3Acu/4AQAA5wMAAA4AAAAAAAAAAQAgAAAAJwEAAGRycy9lMm9Eb2Mu&#10;eG1sUEsFBgAAAAAGAAYAWQEAAJEFAAAAAA==&#10;">
                <v:fill on="f" focussize="0,0"/>
                <v:stroke color="#000000" joinstyle="round"/>
                <v:imagedata o:title=""/>
                <o:lock v:ext="edit" aspectratio="f"/>
              </v:line>
            </w:pict>
          </mc:Fallback>
        </mc:AlternateContent>
      </w:r>
      <w:r>
        <w:rPr>
          <w:rFonts w:hint="eastAsia" w:ascii="黑体" w:hAnsi="黑体" w:eastAsia="黑体" w:cs="黑体"/>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34925</wp:posOffset>
                </wp:positionH>
                <wp:positionV relativeFrom="paragraph">
                  <wp:posOffset>8851900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5pt;margin-top:697pt;height:0pt;width:481.9pt;z-index:251671552;mso-width-relative:page;mso-height-relative:page;" filled="f" stroked="t" coordsize="21600,21600" o:gfxdata="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mbK&#10;ldYAAAALAQAADwAAAAAAAAABACAAAAAiAAAAZHJzL2Rvd25yZXYueG1sUEsBAhQAFAAAAAgAh07i&#10;QCXWq8PrAQAA2AMAAA4AAAAAAAAAAQAgAAAAJQEAAGRycy9lMm9Eb2MueG1sUEsFBgAAAAAGAAYA&#10;WQEAAIIFAAAAAA==&#10;">
                <v:fill on="f" focussize="0,0"/>
                <v:stroke color="#000000" joinstyle="round"/>
                <v:imagedata o:title=""/>
                <o:lock v:ext="edit" aspectratio="f"/>
              </v:line>
            </w:pict>
          </mc:Fallback>
        </mc:AlternateContent>
      </w:r>
    </w:p>
    <w:p>
      <w:pPr>
        <w:spacing w:line="240" w:lineRule="auto"/>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目　次</w:t>
      </w:r>
    </w:p>
    <w:sdt>
      <w:sdtPr>
        <w:rPr>
          <w:rFonts w:ascii="宋体" w:hAnsi="宋体" w:eastAsia="宋体" w:cs="Times New Roman"/>
          <w:kern w:val="2"/>
          <w:sz w:val="21"/>
          <w:szCs w:val="24"/>
          <w:highlight w:val="none"/>
          <w:lang w:val="en-US" w:eastAsia="zh-CN" w:bidi="ar-SA"/>
        </w:rPr>
        <w:id w:val="147456961"/>
        <w15:color w:val="DBDBDB"/>
        <w:docPartObj>
          <w:docPartGallery w:val="Table of Contents"/>
          <w:docPartUnique/>
        </w:docPartObj>
      </w:sdtPr>
      <w:sdtEndPr>
        <w:rPr>
          <w:rFonts w:hint="eastAsia" w:ascii="宋体" w:hAnsi="宋体" w:eastAsia="宋体" w:cs="宋体"/>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p>
        <w:p>
          <w:pPr>
            <w:pStyle w:val="15"/>
            <w:tabs>
              <w:tab w:val="right" w:leader="dot" w:pos="9355"/>
              <w:tab w:val="clear" w:pos="9242"/>
            </w:tabs>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"1-2" \h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_Toc25755 </w:instrText>
          </w:r>
          <w:r>
            <w:rPr>
              <w:rFonts w:hint="eastAsia" w:ascii="宋体" w:hAnsi="宋体" w:eastAsia="宋体" w:cs="宋体"/>
              <w:highlight w:val="none"/>
            </w:rPr>
            <w:fldChar w:fldCharType="separate"/>
          </w:r>
          <w:r>
            <w:rPr>
              <w:rFonts w:hint="eastAsia" w:hAnsi="宋体" w:cs="宋体"/>
              <w:highlight w:val="none"/>
            </w:rPr>
            <w:t>前言</w:t>
          </w:r>
          <w:r>
            <w:rPr>
              <w:rFonts w:hint="eastAsia"/>
            </w:rPr>
            <w:tab/>
          </w:r>
          <w:r>
            <w:rPr>
              <w:rFonts w:hint="eastAsia"/>
            </w:rPr>
            <w:fldChar w:fldCharType="begin"/>
          </w:r>
          <w:r>
            <w:rPr>
              <w:rFonts w:hint="eastAsia"/>
            </w:rPr>
            <w:instrText xml:space="preserve"> PAGEREF _Toc25755 \h </w:instrText>
          </w:r>
          <w:r>
            <w:rPr>
              <w:rFonts w:hint="eastAsia"/>
            </w:rPr>
            <w:fldChar w:fldCharType="separate"/>
          </w:r>
          <w:r>
            <w:rPr>
              <w:rFonts w:hint="eastAsia"/>
            </w:rPr>
            <w:t>III</w:t>
          </w:r>
          <w:r>
            <w:rPr>
              <w:rFonts w:hint="eastAsia"/>
            </w:rPr>
            <w:fldChar w:fldCharType="end"/>
          </w:r>
          <w:r>
            <w:rPr>
              <w:rFonts w:hint="eastAsia" w:ascii="宋体" w:hAnsi="宋体" w:eastAsia="宋体" w:cs="宋体"/>
              <w:highlight w:val="none"/>
            </w:rPr>
            <w:fldChar w:fldCharType="end"/>
          </w:r>
        </w:p>
        <w:p>
          <w:pPr>
            <w:pStyle w:val="15"/>
            <w:tabs>
              <w:tab w:val="right" w:leader="dot" w:pos="9355"/>
              <w:tab w:val="clear" w:pos="9242"/>
            </w:tabs>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_Toc11776 </w:instrText>
          </w:r>
          <w:r>
            <w:rPr>
              <w:rFonts w:hint="eastAsia" w:ascii="宋体" w:hAnsi="宋体" w:eastAsia="宋体" w:cs="宋体"/>
              <w:highlight w:val="none"/>
            </w:rPr>
            <w:fldChar w:fldCharType="separate"/>
          </w:r>
          <w:r>
            <w:rPr>
              <w:rFonts w:hint="eastAsia" w:cs="宋体"/>
              <w:highlight w:val="none"/>
              <w:lang w:val="en-US" w:eastAsia="zh-CN"/>
            </w:rPr>
            <w:t>引</w:t>
          </w:r>
          <w:r>
            <w:rPr>
              <w:rFonts w:hint="eastAsia" w:hAnsi="宋体" w:cs="宋体"/>
              <w:highlight w:val="none"/>
            </w:rPr>
            <w:t>言</w:t>
          </w:r>
          <w:r>
            <w:rPr>
              <w:rFonts w:hint="eastAsia"/>
            </w:rPr>
            <w:tab/>
          </w:r>
          <w:r>
            <w:rPr>
              <w:rFonts w:hint="eastAsia"/>
            </w:rPr>
            <w:fldChar w:fldCharType="begin"/>
          </w:r>
          <w:r>
            <w:rPr>
              <w:rFonts w:hint="eastAsia"/>
            </w:rPr>
            <w:instrText xml:space="preserve"> PAGEREF _Toc11776 \h </w:instrText>
          </w:r>
          <w:r>
            <w:rPr>
              <w:rFonts w:hint="eastAsia"/>
            </w:rPr>
            <w:fldChar w:fldCharType="separate"/>
          </w:r>
          <w:r>
            <w:rPr>
              <w:rFonts w:hint="eastAsia"/>
            </w:rPr>
            <w:t>IV</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_Toc17408 </w:instrText>
          </w:r>
          <w:r>
            <w:rPr>
              <w:rFonts w:hint="eastAsia" w:ascii="宋体" w:hAnsi="宋体" w:eastAsia="宋体" w:cs="宋体"/>
              <w:highlight w:val="none"/>
            </w:rPr>
            <w:fldChar w:fldCharType="separate"/>
          </w:r>
          <w:r>
            <w:rPr>
              <w:rFonts w:hint="eastAsia" w:ascii="宋体" w:hAnsi="宋体" w:eastAsia="宋体"/>
              <w:i w:val="0"/>
              <w:szCs w:val="21"/>
            </w:rPr>
            <w:t xml:space="preserve">1 </w:t>
          </w:r>
          <w:r>
            <w:rPr>
              <w:rFonts w:hint="eastAsia"/>
              <w:highlight w:val="none"/>
            </w:rPr>
            <w:t>范围</w:t>
          </w:r>
          <w:r>
            <w:rPr>
              <w:rFonts w:hint="eastAsia"/>
            </w:rPr>
            <w:tab/>
          </w:r>
          <w:r>
            <w:rPr>
              <w:rFonts w:hint="eastAsia"/>
            </w:rPr>
            <w:fldChar w:fldCharType="begin"/>
          </w:r>
          <w:r>
            <w:rPr>
              <w:rFonts w:hint="eastAsia"/>
            </w:rPr>
            <w:instrText xml:space="preserve"> PAGEREF _Toc17408 \h </w:instrText>
          </w:r>
          <w:r>
            <w:rPr>
              <w:rFonts w:hint="eastAsia"/>
            </w:rPr>
            <w:fldChar w:fldCharType="separate"/>
          </w:r>
          <w:r>
            <w:rPr>
              <w:rFonts w:hint="eastAsia"/>
            </w:rPr>
            <w:t>1</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_Toc19433 </w:instrText>
          </w:r>
          <w:r>
            <w:rPr>
              <w:rFonts w:hint="eastAsia" w:ascii="宋体" w:hAnsi="宋体" w:eastAsia="宋体" w:cs="宋体"/>
              <w:highlight w:val="none"/>
            </w:rPr>
            <w:fldChar w:fldCharType="separate"/>
          </w:r>
          <w:r>
            <w:rPr>
              <w:rFonts w:hint="eastAsia" w:ascii="宋体" w:hAnsi="宋体" w:eastAsia="宋体"/>
              <w:i w:val="0"/>
              <w:szCs w:val="21"/>
            </w:rPr>
            <w:t xml:space="preserve">2 </w:t>
          </w:r>
          <w:r>
            <w:rPr>
              <w:rFonts w:hint="eastAsia"/>
              <w:highlight w:val="none"/>
            </w:rPr>
            <w:t>规范性引用文件</w:t>
          </w:r>
          <w:r>
            <w:rPr>
              <w:rFonts w:hint="eastAsia"/>
            </w:rPr>
            <w:tab/>
          </w:r>
          <w:r>
            <w:rPr>
              <w:rFonts w:hint="eastAsia"/>
            </w:rPr>
            <w:fldChar w:fldCharType="begin"/>
          </w:r>
          <w:r>
            <w:rPr>
              <w:rFonts w:hint="eastAsia"/>
            </w:rPr>
            <w:instrText xml:space="preserve"> PAGEREF _Toc19433 \h </w:instrText>
          </w:r>
          <w:r>
            <w:rPr>
              <w:rFonts w:hint="eastAsia"/>
            </w:rPr>
            <w:fldChar w:fldCharType="separate"/>
          </w:r>
          <w:r>
            <w:rPr>
              <w:rFonts w:hint="eastAsia"/>
            </w:rPr>
            <w:t>1</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_Toc13606 </w:instrText>
          </w:r>
          <w:r>
            <w:rPr>
              <w:rFonts w:hint="eastAsia" w:ascii="宋体" w:hAnsi="宋体" w:eastAsia="宋体" w:cs="宋体"/>
              <w:highlight w:val="none"/>
            </w:rPr>
            <w:fldChar w:fldCharType="separate"/>
          </w:r>
          <w:r>
            <w:rPr>
              <w:rFonts w:hint="eastAsia" w:ascii="宋体" w:hAnsi="宋体" w:eastAsia="宋体"/>
              <w:i w:val="0"/>
              <w:szCs w:val="21"/>
            </w:rPr>
            <w:t xml:space="preserve">3 </w:t>
          </w:r>
          <w:r>
            <w:rPr>
              <w:rFonts w:hint="eastAsia"/>
              <w:highlight w:val="none"/>
            </w:rPr>
            <w:t>术语和定义</w:t>
          </w:r>
          <w:r>
            <w:rPr>
              <w:rFonts w:hint="eastAsia"/>
            </w:rPr>
            <w:tab/>
          </w:r>
          <w:r>
            <w:rPr>
              <w:rFonts w:hint="eastAsia"/>
            </w:rPr>
            <w:fldChar w:fldCharType="begin"/>
          </w:r>
          <w:r>
            <w:rPr>
              <w:rFonts w:hint="eastAsia"/>
            </w:rPr>
            <w:instrText xml:space="preserve"> PAGEREF _Toc13606 \h </w:instrText>
          </w:r>
          <w:r>
            <w:rPr>
              <w:rFonts w:hint="eastAsia"/>
            </w:rPr>
            <w:fldChar w:fldCharType="separate"/>
          </w:r>
          <w:r>
            <w:rPr>
              <w:rFonts w:hint="eastAsia"/>
            </w:rPr>
            <w:t>1</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_Toc6774 </w:instrText>
          </w:r>
          <w:r>
            <w:rPr>
              <w:rFonts w:hint="eastAsia" w:ascii="宋体" w:hAnsi="宋体" w:eastAsia="宋体" w:cs="宋体"/>
              <w:highlight w:val="none"/>
            </w:rPr>
            <w:fldChar w:fldCharType="separate"/>
          </w:r>
          <w:r>
            <w:rPr>
              <w:rFonts w:hint="eastAsia" w:ascii="宋体" w:hAnsi="宋体" w:eastAsia="宋体"/>
              <w:i w:val="0"/>
              <w:szCs w:val="21"/>
            </w:rPr>
            <w:t xml:space="preserve">4 </w:t>
          </w:r>
          <w:r>
            <w:rPr>
              <w:rFonts w:hint="eastAsia"/>
              <w:highlight w:val="none"/>
              <w:lang w:val="en-US" w:eastAsia="zh-CN"/>
            </w:rPr>
            <w:t>缩略语</w:t>
          </w:r>
          <w:r>
            <w:rPr>
              <w:rFonts w:hint="eastAsia"/>
            </w:rPr>
            <w:tab/>
          </w:r>
          <w:r>
            <w:rPr>
              <w:rFonts w:hint="eastAsia"/>
            </w:rPr>
            <w:fldChar w:fldCharType="begin"/>
          </w:r>
          <w:r>
            <w:rPr>
              <w:rFonts w:hint="eastAsia"/>
            </w:rPr>
            <w:instrText xml:space="preserve"> PAGEREF _Toc6774 \h </w:instrText>
          </w:r>
          <w:r>
            <w:rPr>
              <w:rFonts w:hint="eastAsia"/>
            </w:rPr>
            <w:fldChar w:fldCharType="separate"/>
          </w:r>
          <w:r>
            <w:rPr>
              <w:rFonts w:hint="eastAsia"/>
            </w:rPr>
            <w:t>3</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_Toc23456 </w:instrText>
          </w:r>
          <w:r>
            <w:rPr>
              <w:rFonts w:hint="eastAsia" w:ascii="宋体" w:hAnsi="宋体" w:eastAsia="宋体" w:cs="宋体"/>
              <w:highlight w:val="none"/>
            </w:rPr>
            <w:fldChar w:fldCharType="separate"/>
          </w:r>
          <w:r>
            <w:rPr>
              <w:rFonts w:hint="eastAsia" w:ascii="宋体" w:hAnsi="宋体" w:eastAsia="宋体"/>
              <w:i w:val="0"/>
              <w:szCs w:val="21"/>
              <w:lang w:val="en-US" w:eastAsia="zh-CN"/>
            </w:rPr>
            <w:t xml:space="preserve">5 </w:t>
          </w:r>
          <w:r>
            <w:rPr>
              <w:rFonts w:hint="eastAsia"/>
              <w:highlight w:val="none"/>
              <w:lang w:val="en-US" w:eastAsia="zh-CN"/>
            </w:rPr>
            <w:t>总体原则</w:t>
          </w:r>
          <w:r>
            <w:rPr>
              <w:rFonts w:hint="eastAsia"/>
            </w:rPr>
            <w:tab/>
          </w:r>
          <w:r>
            <w:rPr>
              <w:rFonts w:hint="eastAsia"/>
            </w:rPr>
            <w:fldChar w:fldCharType="begin"/>
          </w:r>
          <w:r>
            <w:rPr>
              <w:rFonts w:hint="eastAsia"/>
            </w:rPr>
            <w:instrText xml:space="preserve"> PAGEREF _Toc23456 \h </w:instrText>
          </w:r>
          <w:r>
            <w:rPr>
              <w:rFonts w:hint="eastAsia"/>
            </w:rPr>
            <w:fldChar w:fldCharType="separate"/>
          </w:r>
          <w:r>
            <w:rPr>
              <w:rFonts w:hint="eastAsia"/>
            </w:rPr>
            <w:t>3</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_Toc2115 </w:instrText>
          </w:r>
          <w:r>
            <w:rPr>
              <w:rFonts w:hint="eastAsia" w:ascii="宋体" w:hAnsi="宋体" w:eastAsia="宋体" w:cs="宋体"/>
              <w:highlight w:val="none"/>
            </w:rPr>
            <w:fldChar w:fldCharType="separate"/>
          </w:r>
          <w:r>
            <w:rPr>
              <w:rFonts w:hint="eastAsia" w:ascii="宋体" w:hAnsi="宋体" w:eastAsia="宋体"/>
              <w:i w:val="0"/>
              <w:szCs w:val="21"/>
            </w:rPr>
            <w:t xml:space="preserve">6 </w:t>
          </w:r>
          <w:r>
            <w:rPr>
              <w:rFonts w:hint="eastAsia"/>
              <w:highlight w:val="none"/>
              <w:lang w:val="en-US" w:eastAsia="zh-CN"/>
            </w:rPr>
            <w:t>数据分类</w:t>
          </w:r>
          <w:r>
            <w:rPr>
              <w:rFonts w:hint="eastAsia"/>
            </w:rPr>
            <w:tab/>
          </w:r>
          <w:r>
            <w:rPr>
              <w:rFonts w:hint="eastAsia"/>
            </w:rPr>
            <w:fldChar w:fldCharType="begin"/>
          </w:r>
          <w:r>
            <w:rPr>
              <w:rFonts w:hint="eastAsia"/>
            </w:rPr>
            <w:instrText xml:space="preserve"> PAGEREF _Toc2115 \h </w:instrText>
          </w:r>
          <w:r>
            <w:rPr>
              <w:rFonts w:hint="eastAsia"/>
            </w:rPr>
            <w:fldChar w:fldCharType="separate"/>
          </w:r>
          <w:r>
            <w:rPr>
              <w:rFonts w:hint="eastAsia"/>
            </w:rPr>
            <w:t>3</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_Toc10150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6.1 </w:t>
          </w:r>
          <w:r>
            <w:rPr>
              <w:rFonts w:hint="eastAsia"/>
              <w:lang w:val="en-US" w:eastAsia="zh-CN"/>
            </w:rPr>
            <w:t>行业领域维度</w:t>
          </w:r>
          <w:r>
            <w:rPr>
              <w:rFonts w:hint="eastAsia"/>
            </w:rPr>
            <w:tab/>
          </w:r>
          <w:r>
            <w:rPr>
              <w:rFonts w:hint="eastAsia"/>
            </w:rPr>
            <w:fldChar w:fldCharType="begin"/>
          </w:r>
          <w:r>
            <w:rPr>
              <w:rFonts w:hint="eastAsia"/>
            </w:rPr>
            <w:instrText xml:space="preserve"> PAGEREF _Toc10150 \h </w:instrText>
          </w:r>
          <w:r>
            <w:rPr>
              <w:rFonts w:hint="eastAsia"/>
            </w:rPr>
            <w:fldChar w:fldCharType="separate"/>
          </w:r>
          <w:r>
            <w:rPr>
              <w:rFonts w:hint="eastAsia"/>
            </w:rPr>
            <w:t>4</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_Toc14475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6.2 </w:t>
          </w:r>
          <w:r>
            <w:rPr>
              <w:rFonts w:hint="eastAsia"/>
              <w:lang w:val="en-US" w:eastAsia="zh-CN"/>
            </w:rPr>
            <w:t>业务领域维度</w:t>
          </w:r>
          <w:r>
            <w:rPr>
              <w:rFonts w:hint="eastAsia"/>
            </w:rPr>
            <w:tab/>
          </w:r>
          <w:r>
            <w:rPr>
              <w:rFonts w:hint="eastAsia"/>
            </w:rPr>
            <w:fldChar w:fldCharType="begin"/>
          </w:r>
          <w:r>
            <w:rPr>
              <w:rFonts w:hint="eastAsia"/>
            </w:rPr>
            <w:instrText xml:space="preserve"> PAGEREF _Toc14475 \h </w:instrText>
          </w:r>
          <w:r>
            <w:rPr>
              <w:rFonts w:hint="eastAsia"/>
            </w:rPr>
            <w:fldChar w:fldCharType="separate"/>
          </w:r>
          <w:r>
            <w:rPr>
              <w:rFonts w:hint="eastAsia"/>
            </w:rPr>
            <w:t>11</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_Toc23520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6.3 </w:t>
          </w:r>
          <w:r>
            <w:rPr>
              <w:rFonts w:hint="eastAsia"/>
              <w:lang w:val="en-US" w:eastAsia="zh-CN"/>
            </w:rPr>
            <w:t>组织经营维度</w:t>
          </w:r>
          <w:r>
            <w:rPr>
              <w:rFonts w:hint="eastAsia"/>
            </w:rPr>
            <w:tab/>
          </w:r>
          <w:r>
            <w:rPr>
              <w:rFonts w:hint="eastAsia"/>
            </w:rPr>
            <w:fldChar w:fldCharType="begin"/>
          </w:r>
          <w:r>
            <w:rPr>
              <w:rFonts w:hint="eastAsia"/>
            </w:rPr>
            <w:instrText xml:space="preserve"> PAGEREF _Toc23520 \h </w:instrText>
          </w:r>
          <w:r>
            <w:rPr>
              <w:rFonts w:hint="eastAsia"/>
            </w:rPr>
            <w:fldChar w:fldCharType="separate"/>
          </w:r>
          <w:r>
            <w:rPr>
              <w:rFonts w:hint="eastAsia"/>
            </w:rPr>
            <w:t>13</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_Toc17992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6.4 </w:t>
          </w:r>
          <w:r>
            <w:rPr>
              <w:rFonts w:hint="eastAsia"/>
              <w:lang w:val="en-US" w:eastAsia="zh-CN"/>
            </w:rPr>
            <w:t>系统层级维度</w:t>
          </w:r>
          <w:r>
            <w:rPr>
              <w:rFonts w:hint="eastAsia"/>
            </w:rPr>
            <w:tab/>
          </w:r>
          <w:r>
            <w:rPr>
              <w:rFonts w:hint="eastAsia"/>
            </w:rPr>
            <w:fldChar w:fldCharType="begin"/>
          </w:r>
          <w:r>
            <w:rPr>
              <w:rFonts w:hint="eastAsia"/>
            </w:rPr>
            <w:instrText xml:space="preserve"> PAGEREF _Toc17992 \h </w:instrText>
          </w:r>
          <w:r>
            <w:rPr>
              <w:rFonts w:hint="eastAsia"/>
            </w:rPr>
            <w:fldChar w:fldCharType="separate"/>
          </w:r>
          <w:r>
            <w:rPr>
              <w:rFonts w:hint="eastAsia"/>
            </w:rPr>
            <w:t>13</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_Toc18058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6.5 </w:t>
          </w:r>
          <w:r>
            <w:rPr>
              <w:rFonts w:hint="eastAsia"/>
              <w:lang w:val="en-US" w:eastAsia="zh-CN"/>
            </w:rPr>
            <w:t>生产周期维度</w:t>
          </w:r>
          <w:r>
            <w:rPr>
              <w:rFonts w:hint="eastAsia"/>
            </w:rPr>
            <w:tab/>
          </w:r>
          <w:r>
            <w:rPr>
              <w:rFonts w:hint="eastAsia"/>
            </w:rPr>
            <w:fldChar w:fldCharType="begin"/>
          </w:r>
          <w:r>
            <w:rPr>
              <w:rFonts w:hint="eastAsia"/>
            </w:rPr>
            <w:instrText xml:space="preserve"> PAGEREF _Toc18058 \h </w:instrText>
          </w:r>
          <w:r>
            <w:rPr>
              <w:rFonts w:hint="eastAsia"/>
            </w:rPr>
            <w:fldChar w:fldCharType="separate"/>
          </w:r>
          <w:r>
            <w:rPr>
              <w:rFonts w:hint="eastAsia"/>
            </w:rPr>
            <w:t>13</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_Toc4421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6.6 </w:t>
          </w:r>
          <w:r>
            <w:rPr>
              <w:rFonts w:hint="eastAsia"/>
              <w:lang w:val="en-US" w:eastAsia="zh-CN"/>
            </w:rPr>
            <w:t>数据共享属性维度</w:t>
          </w:r>
          <w:r>
            <w:rPr>
              <w:rFonts w:hint="eastAsia"/>
            </w:rPr>
            <w:tab/>
          </w:r>
          <w:r>
            <w:rPr>
              <w:rFonts w:hint="eastAsia"/>
            </w:rPr>
            <w:fldChar w:fldCharType="begin"/>
          </w:r>
          <w:r>
            <w:rPr>
              <w:rFonts w:hint="eastAsia"/>
            </w:rPr>
            <w:instrText xml:space="preserve"> PAGEREF _Toc4421 \h </w:instrText>
          </w:r>
          <w:r>
            <w:rPr>
              <w:rFonts w:hint="eastAsia"/>
            </w:rPr>
            <w:fldChar w:fldCharType="separate"/>
          </w:r>
          <w:r>
            <w:rPr>
              <w:rFonts w:hint="eastAsia"/>
            </w:rPr>
            <w:t>14</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_Toc28859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6.7 </w:t>
          </w:r>
          <w:r>
            <w:rPr>
              <w:rFonts w:hint="eastAsia"/>
              <w:highlight w:val="none"/>
              <w:lang w:val="en-US" w:eastAsia="zh-CN"/>
            </w:rPr>
            <w:t>数据开放属性维度</w:t>
          </w:r>
          <w:r>
            <w:rPr>
              <w:rFonts w:hint="eastAsia"/>
            </w:rPr>
            <w:tab/>
          </w:r>
          <w:r>
            <w:rPr>
              <w:rFonts w:hint="eastAsia"/>
            </w:rPr>
            <w:fldChar w:fldCharType="begin"/>
          </w:r>
          <w:r>
            <w:rPr>
              <w:rFonts w:hint="eastAsia"/>
            </w:rPr>
            <w:instrText xml:space="preserve"> PAGEREF _Toc28859 \h </w:instrText>
          </w:r>
          <w:r>
            <w:rPr>
              <w:rFonts w:hint="eastAsia"/>
            </w:rPr>
            <w:fldChar w:fldCharType="separate"/>
          </w:r>
          <w:r>
            <w:rPr>
              <w:rFonts w:hint="eastAsia"/>
            </w:rPr>
            <w:t>15</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_Toc27858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6.8 </w:t>
          </w:r>
          <w:r>
            <w:rPr>
              <w:rFonts w:hint="eastAsia"/>
              <w:lang w:val="en-US" w:eastAsia="zh-CN"/>
            </w:rPr>
            <w:t>数据加工程度维度</w:t>
          </w:r>
          <w:r>
            <w:rPr>
              <w:rFonts w:hint="eastAsia"/>
            </w:rPr>
            <w:tab/>
          </w:r>
          <w:r>
            <w:rPr>
              <w:rFonts w:hint="eastAsia"/>
            </w:rPr>
            <w:fldChar w:fldCharType="begin"/>
          </w:r>
          <w:r>
            <w:rPr>
              <w:rFonts w:hint="eastAsia"/>
            </w:rPr>
            <w:instrText xml:space="preserve"> PAGEREF _Toc27858 \h </w:instrText>
          </w:r>
          <w:r>
            <w:rPr>
              <w:rFonts w:hint="eastAsia"/>
            </w:rPr>
            <w:fldChar w:fldCharType="separate"/>
          </w:r>
          <w:r>
            <w:rPr>
              <w:rFonts w:hint="eastAsia"/>
            </w:rPr>
            <w:t>15</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_Toc23762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6.9 </w:t>
          </w:r>
          <w:r>
            <w:rPr>
              <w:rFonts w:hint="eastAsia"/>
              <w:lang w:val="en-US" w:eastAsia="zh-CN"/>
            </w:rPr>
            <w:t>数据敏感程度维度</w:t>
          </w:r>
          <w:r>
            <w:rPr>
              <w:rFonts w:hint="eastAsia"/>
            </w:rPr>
            <w:tab/>
          </w:r>
          <w:r>
            <w:rPr>
              <w:rFonts w:hint="eastAsia"/>
            </w:rPr>
            <w:fldChar w:fldCharType="begin"/>
          </w:r>
          <w:r>
            <w:rPr>
              <w:rFonts w:hint="eastAsia"/>
            </w:rPr>
            <w:instrText xml:space="preserve"> PAGEREF _Toc23762 \h </w:instrText>
          </w:r>
          <w:r>
            <w:rPr>
              <w:rFonts w:hint="eastAsia"/>
            </w:rPr>
            <w:fldChar w:fldCharType="separate"/>
          </w:r>
          <w:r>
            <w:rPr>
              <w:rFonts w:hint="eastAsia"/>
            </w:rPr>
            <w:t>16</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_Toc1270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6.10 </w:t>
          </w:r>
          <w:r>
            <w:rPr>
              <w:rFonts w:hint="eastAsia"/>
              <w:highlight w:val="none"/>
              <w:lang w:val="en-US" w:eastAsia="zh-CN"/>
            </w:rPr>
            <w:t>存储方式维度</w:t>
          </w:r>
          <w:r>
            <w:rPr>
              <w:rFonts w:hint="eastAsia"/>
            </w:rPr>
            <w:tab/>
          </w:r>
          <w:r>
            <w:rPr>
              <w:rFonts w:hint="eastAsia"/>
            </w:rPr>
            <w:fldChar w:fldCharType="begin"/>
          </w:r>
          <w:r>
            <w:rPr>
              <w:rFonts w:hint="eastAsia"/>
            </w:rPr>
            <w:instrText xml:space="preserve"> PAGEREF _Toc1270 \h </w:instrText>
          </w:r>
          <w:r>
            <w:rPr>
              <w:rFonts w:hint="eastAsia"/>
            </w:rPr>
            <w:fldChar w:fldCharType="separate"/>
          </w:r>
          <w:r>
            <w:rPr>
              <w:rFonts w:hint="eastAsia"/>
            </w:rPr>
            <w:t>16</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_Toc30035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6.11 </w:t>
          </w:r>
          <w:r>
            <w:rPr>
              <w:rFonts w:hint="eastAsia"/>
              <w:highlight w:val="none"/>
              <w:lang w:val="en-US" w:eastAsia="zh-CN"/>
            </w:rPr>
            <w:t>更新频率维度</w:t>
          </w:r>
          <w:r>
            <w:rPr>
              <w:rFonts w:hint="eastAsia"/>
            </w:rPr>
            <w:tab/>
          </w:r>
          <w:r>
            <w:rPr>
              <w:rFonts w:hint="eastAsia"/>
            </w:rPr>
            <w:fldChar w:fldCharType="begin"/>
          </w:r>
          <w:r>
            <w:rPr>
              <w:rFonts w:hint="eastAsia"/>
            </w:rPr>
            <w:instrText xml:space="preserve"> PAGEREF _Toc30035 \h </w:instrText>
          </w:r>
          <w:r>
            <w:rPr>
              <w:rFonts w:hint="eastAsia"/>
            </w:rPr>
            <w:fldChar w:fldCharType="separate"/>
          </w:r>
          <w:r>
            <w:rPr>
              <w:rFonts w:hint="eastAsia"/>
            </w:rPr>
            <w:t>17</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_Toc13905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6.12 </w:t>
          </w:r>
          <w:r>
            <w:rPr>
              <w:rFonts w:hint="eastAsia"/>
              <w:lang w:val="en-US" w:eastAsia="zh-CN"/>
            </w:rPr>
            <w:t>数据质量维度</w:t>
          </w:r>
          <w:r>
            <w:rPr>
              <w:rFonts w:hint="eastAsia"/>
            </w:rPr>
            <w:tab/>
          </w:r>
          <w:r>
            <w:rPr>
              <w:rFonts w:hint="eastAsia"/>
            </w:rPr>
            <w:fldChar w:fldCharType="begin"/>
          </w:r>
          <w:r>
            <w:rPr>
              <w:rFonts w:hint="eastAsia"/>
            </w:rPr>
            <w:instrText xml:space="preserve"> PAGEREF _Toc13905 \h </w:instrText>
          </w:r>
          <w:r>
            <w:rPr>
              <w:rFonts w:hint="eastAsia"/>
            </w:rPr>
            <w:fldChar w:fldCharType="separate"/>
          </w:r>
          <w:r>
            <w:rPr>
              <w:rFonts w:hint="eastAsia"/>
            </w:rPr>
            <w:t>17</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_Toc6084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6.13 </w:t>
          </w:r>
          <w:r>
            <w:rPr>
              <w:rFonts w:hint="eastAsia"/>
              <w:lang w:val="en-US" w:eastAsia="zh-CN"/>
            </w:rPr>
            <w:t>数据来源维度</w:t>
          </w:r>
          <w:r>
            <w:rPr>
              <w:rFonts w:hint="eastAsia"/>
            </w:rPr>
            <w:tab/>
          </w:r>
          <w:r>
            <w:rPr>
              <w:rFonts w:hint="eastAsia"/>
            </w:rPr>
            <w:fldChar w:fldCharType="begin"/>
          </w:r>
          <w:r>
            <w:rPr>
              <w:rFonts w:hint="eastAsia"/>
            </w:rPr>
            <w:instrText xml:space="preserve"> PAGEREF _Toc6084 \h </w:instrText>
          </w:r>
          <w:r>
            <w:rPr>
              <w:rFonts w:hint="eastAsia"/>
            </w:rPr>
            <w:fldChar w:fldCharType="separate"/>
          </w:r>
          <w:r>
            <w:rPr>
              <w:rFonts w:hint="eastAsia"/>
            </w:rPr>
            <w:t>18</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_Toc13848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6.14 </w:t>
          </w:r>
          <w:r>
            <w:rPr>
              <w:rFonts w:hint="eastAsia"/>
              <w:lang w:val="en-US" w:eastAsia="zh-CN"/>
            </w:rPr>
            <w:t>数据结构特征维度</w:t>
          </w:r>
          <w:r>
            <w:rPr>
              <w:rFonts w:hint="eastAsia"/>
            </w:rPr>
            <w:tab/>
          </w:r>
          <w:r>
            <w:rPr>
              <w:rFonts w:hint="eastAsia"/>
            </w:rPr>
            <w:fldChar w:fldCharType="begin"/>
          </w:r>
          <w:r>
            <w:rPr>
              <w:rFonts w:hint="eastAsia"/>
            </w:rPr>
            <w:instrText xml:space="preserve"> PAGEREF _Toc13848 \h </w:instrText>
          </w:r>
          <w:r>
            <w:rPr>
              <w:rFonts w:hint="eastAsia"/>
            </w:rPr>
            <w:fldChar w:fldCharType="separate"/>
          </w:r>
          <w:r>
            <w:rPr>
              <w:rFonts w:hint="eastAsia"/>
            </w:rPr>
            <w:t>18</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_Toc17217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6.15 </w:t>
          </w:r>
          <w:r>
            <w:rPr>
              <w:rFonts w:hint="eastAsia"/>
              <w:lang w:val="en-US" w:eastAsia="zh-CN"/>
            </w:rPr>
            <w:t>数据格式维度</w:t>
          </w:r>
          <w:r>
            <w:rPr>
              <w:rFonts w:hint="eastAsia"/>
            </w:rPr>
            <w:tab/>
          </w:r>
          <w:r>
            <w:rPr>
              <w:rFonts w:hint="eastAsia"/>
            </w:rPr>
            <w:fldChar w:fldCharType="begin"/>
          </w:r>
          <w:r>
            <w:rPr>
              <w:rFonts w:hint="eastAsia"/>
            </w:rPr>
            <w:instrText xml:space="preserve"> PAGEREF _Toc17217 \h </w:instrText>
          </w:r>
          <w:r>
            <w:rPr>
              <w:rFonts w:hint="eastAsia"/>
            </w:rPr>
            <w:fldChar w:fldCharType="separate"/>
          </w:r>
          <w:r>
            <w:rPr>
              <w:rFonts w:hint="eastAsia"/>
            </w:rPr>
            <w:t>19</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_Toc4808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6.16 </w:t>
          </w:r>
          <w:r>
            <w:rPr>
              <w:rFonts w:hint="eastAsia"/>
              <w:highlight w:val="none"/>
              <w:lang w:val="en-US" w:eastAsia="zh-CN"/>
            </w:rPr>
            <w:t>数据采集方式维度</w:t>
          </w:r>
          <w:r>
            <w:rPr>
              <w:rFonts w:hint="eastAsia"/>
            </w:rPr>
            <w:tab/>
          </w:r>
          <w:r>
            <w:rPr>
              <w:rFonts w:hint="eastAsia"/>
            </w:rPr>
            <w:fldChar w:fldCharType="begin"/>
          </w:r>
          <w:r>
            <w:rPr>
              <w:rFonts w:hint="eastAsia"/>
            </w:rPr>
            <w:instrText xml:space="preserve"> PAGEREF _Toc4808 \h </w:instrText>
          </w:r>
          <w:r>
            <w:rPr>
              <w:rFonts w:hint="eastAsia"/>
            </w:rPr>
            <w:fldChar w:fldCharType="separate"/>
          </w:r>
          <w:r>
            <w:rPr>
              <w:rFonts w:hint="eastAsia"/>
            </w:rPr>
            <w:t>19</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_Toc28897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6.17 </w:t>
          </w:r>
          <w:r>
            <w:rPr>
              <w:rFonts w:hint="eastAsia"/>
              <w:highlight w:val="none"/>
              <w:lang w:val="en-US" w:eastAsia="zh-CN"/>
            </w:rPr>
            <w:t>时间维度</w:t>
          </w:r>
          <w:r>
            <w:rPr>
              <w:rFonts w:hint="eastAsia"/>
            </w:rPr>
            <w:tab/>
          </w:r>
          <w:r>
            <w:rPr>
              <w:rFonts w:hint="eastAsia"/>
            </w:rPr>
            <w:fldChar w:fldCharType="begin"/>
          </w:r>
          <w:r>
            <w:rPr>
              <w:rFonts w:hint="eastAsia"/>
            </w:rPr>
            <w:instrText xml:space="preserve"> PAGEREF _Toc28897 \h </w:instrText>
          </w:r>
          <w:r>
            <w:rPr>
              <w:rFonts w:hint="eastAsia"/>
            </w:rPr>
            <w:fldChar w:fldCharType="separate"/>
          </w:r>
          <w:r>
            <w:rPr>
              <w:rFonts w:hint="eastAsia"/>
            </w:rPr>
            <w:t>20</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_Toc7036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6.18 </w:t>
          </w:r>
          <w:r>
            <w:rPr>
              <w:rFonts w:hint="eastAsia"/>
              <w:lang w:val="en-US" w:eastAsia="zh-CN"/>
            </w:rPr>
            <w:t>数据用途维度</w:t>
          </w:r>
          <w:r>
            <w:rPr>
              <w:rFonts w:hint="eastAsia"/>
            </w:rPr>
            <w:tab/>
          </w:r>
          <w:r>
            <w:rPr>
              <w:rFonts w:hint="eastAsia"/>
            </w:rPr>
            <w:fldChar w:fldCharType="begin"/>
          </w:r>
          <w:r>
            <w:rPr>
              <w:rFonts w:hint="eastAsia"/>
            </w:rPr>
            <w:instrText xml:space="preserve"> PAGEREF _Toc7036 \h </w:instrText>
          </w:r>
          <w:r>
            <w:rPr>
              <w:rFonts w:hint="eastAsia"/>
            </w:rPr>
            <w:fldChar w:fldCharType="separate"/>
          </w:r>
          <w:r>
            <w:rPr>
              <w:rFonts w:hint="eastAsia"/>
            </w:rPr>
            <w:t>20</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_Toc3113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6.19 </w:t>
          </w:r>
          <w:r>
            <w:rPr>
              <w:rFonts w:hint="eastAsia"/>
              <w:lang w:val="en-US" w:eastAsia="zh-CN"/>
            </w:rPr>
            <w:t>空间范围维度</w:t>
          </w:r>
          <w:r>
            <w:rPr>
              <w:rFonts w:hint="eastAsia"/>
            </w:rPr>
            <w:tab/>
          </w:r>
          <w:r>
            <w:rPr>
              <w:rFonts w:hint="eastAsia"/>
            </w:rPr>
            <w:fldChar w:fldCharType="begin"/>
          </w:r>
          <w:r>
            <w:rPr>
              <w:rFonts w:hint="eastAsia"/>
            </w:rPr>
            <w:instrText xml:space="preserve"> PAGEREF _Toc3113 \h </w:instrText>
          </w:r>
          <w:r>
            <w:rPr>
              <w:rFonts w:hint="eastAsia"/>
            </w:rPr>
            <w:fldChar w:fldCharType="separate"/>
          </w:r>
          <w:r>
            <w:rPr>
              <w:rFonts w:hint="eastAsia"/>
            </w:rPr>
            <w:t>20</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_Toc27416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6.20 </w:t>
          </w:r>
          <w:r>
            <w:rPr>
              <w:rFonts w:hint="eastAsia"/>
              <w:lang w:val="en-US" w:eastAsia="zh-CN"/>
            </w:rPr>
            <w:t>数据的应用层次维度</w:t>
          </w:r>
          <w:r>
            <w:rPr>
              <w:rFonts w:hint="eastAsia"/>
            </w:rPr>
            <w:tab/>
          </w:r>
          <w:r>
            <w:rPr>
              <w:rFonts w:hint="eastAsia"/>
            </w:rPr>
            <w:fldChar w:fldCharType="begin"/>
          </w:r>
          <w:r>
            <w:rPr>
              <w:rFonts w:hint="eastAsia"/>
            </w:rPr>
            <w:instrText xml:space="preserve"> PAGEREF _Toc27416 \h </w:instrText>
          </w:r>
          <w:r>
            <w:rPr>
              <w:rFonts w:hint="eastAsia"/>
            </w:rPr>
            <w:fldChar w:fldCharType="separate"/>
          </w:r>
          <w:r>
            <w:rPr>
              <w:rFonts w:hint="eastAsia"/>
            </w:rPr>
            <w:t>21</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_Toc29719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6.21 </w:t>
          </w:r>
          <w:r>
            <w:rPr>
              <w:rFonts w:hint="eastAsia"/>
              <w:lang w:val="en-US" w:eastAsia="zh-CN"/>
            </w:rPr>
            <w:t>描述事物的角度维度</w:t>
          </w:r>
          <w:r>
            <w:rPr>
              <w:rFonts w:hint="eastAsia"/>
            </w:rPr>
            <w:tab/>
          </w:r>
          <w:r>
            <w:rPr>
              <w:rFonts w:hint="eastAsia"/>
            </w:rPr>
            <w:fldChar w:fldCharType="begin"/>
          </w:r>
          <w:r>
            <w:rPr>
              <w:rFonts w:hint="eastAsia"/>
            </w:rPr>
            <w:instrText xml:space="preserve"> PAGEREF _Toc29719 \h </w:instrText>
          </w:r>
          <w:r>
            <w:rPr>
              <w:rFonts w:hint="eastAsia"/>
            </w:rPr>
            <w:fldChar w:fldCharType="separate"/>
          </w:r>
          <w:r>
            <w:rPr>
              <w:rFonts w:hint="eastAsia"/>
            </w:rPr>
            <w:t>21</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_Toc32164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6.22 </w:t>
          </w:r>
          <w:r>
            <w:rPr>
              <w:rFonts w:hint="eastAsia"/>
              <w:highlight w:val="none"/>
              <w:lang w:val="en-US" w:eastAsia="zh-CN"/>
            </w:rPr>
            <w:t>数据离散属性维度</w:t>
          </w:r>
          <w:r>
            <w:rPr>
              <w:rFonts w:hint="eastAsia"/>
            </w:rPr>
            <w:tab/>
          </w:r>
          <w:r>
            <w:rPr>
              <w:rFonts w:hint="eastAsia"/>
            </w:rPr>
            <w:fldChar w:fldCharType="begin"/>
          </w:r>
          <w:r>
            <w:rPr>
              <w:rFonts w:hint="eastAsia"/>
            </w:rPr>
            <w:instrText xml:space="preserve"> PAGEREF _Toc32164 \h </w:instrText>
          </w:r>
          <w:r>
            <w:rPr>
              <w:rFonts w:hint="eastAsia"/>
            </w:rPr>
            <w:fldChar w:fldCharType="separate"/>
          </w:r>
          <w:r>
            <w:rPr>
              <w:rFonts w:hint="eastAsia"/>
            </w:rPr>
            <w:t>22</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_Toc29073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6.23 </w:t>
          </w:r>
          <w:r>
            <w:rPr>
              <w:rFonts w:hint="eastAsia"/>
              <w:lang w:val="en-US" w:eastAsia="zh-CN"/>
            </w:rPr>
            <w:t>数据粒度维度</w:t>
          </w:r>
          <w:r>
            <w:rPr>
              <w:rFonts w:hint="eastAsia"/>
            </w:rPr>
            <w:tab/>
          </w:r>
          <w:r>
            <w:rPr>
              <w:rFonts w:hint="eastAsia"/>
            </w:rPr>
            <w:fldChar w:fldCharType="begin"/>
          </w:r>
          <w:r>
            <w:rPr>
              <w:rFonts w:hint="eastAsia"/>
            </w:rPr>
            <w:instrText xml:space="preserve"> PAGEREF _Toc29073 \h </w:instrText>
          </w:r>
          <w:r>
            <w:rPr>
              <w:rFonts w:hint="eastAsia"/>
            </w:rPr>
            <w:fldChar w:fldCharType="separate"/>
          </w:r>
          <w:r>
            <w:rPr>
              <w:rFonts w:hint="eastAsia"/>
            </w:rPr>
            <w:t>22</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_Toc10625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6.24 </w:t>
          </w:r>
          <w:r>
            <w:rPr>
              <w:rFonts w:hint="eastAsia"/>
              <w:highlight w:val="none"/>
              <w:lang w:val="en-US" w:eastAsia="zh-CN"/>
            </w:rPr>
            <w:t>数据活动</w:t>
          </w:r>
          <w:r>
            <w:rPr>
              <w:rFonts w:hint="eastAsia"/>
              <w:lang w:val="en-US" w:eastAsia="zh-CN"/>
            </w:rPr>
            <w:t>网络</w:t>
          </w:r>
          <w:r>
            <w:rPr>
              <w:rFonts w:hint="eastAsia"/>
              <w:highlight w:val="none"/>
              <w:lang w:val="en-US" w:eastAsia="zh-CN"/>
            </w:rPr>
            <w:t>空间维度</w:t>
          </w:r>
          <w:r>
            <w:rPr>
              <w:rFonts w:hint="eastAsia"/>
            </w:rPr>
            <w:tab/>
          </w:r>
          <w:r>
            <w:rPr>
              <w:rFonts w:hint="eastAsia"/>
            </w:rPr>
            <w:fldChar w:fldCharType="begin"/>
          </w:r>
          <w:r>
            <w:rPr>
              <w:rFonts w:hint="eastAsia"/>
            </w:rPr>
            <w:instrText xml:space="preserve"> PAGEREF _Toc10625 \h </w:instrText>
          </w:r>
          <w:r>
            <w:rPr>
              <w:rFonts w:hint="eastAsia"/>
            </w:rPr>
            <w:fldChar w:fldCharType="separate"/>
          </w:r>
          <w:r>
            <w:rPr>
              <w:rFonts w:hint="eastAsia"/>
            </w:rPr>
            <w:t>22</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_Toc13880 </w:instrText>
          </w:r>
          <w:r>
            <w:rPr>
              <w:rFonts w:hint="eastAsia" w:ascii="宋体" w:hAnsi="宋体" w:eastAsia="宋体" w:cs="宋体"/>
              <w:highlight w:val="none"/>
            </w:rPr>
            <w:fldChar w:fldCharType="separate"/>
          </w:r>
          <w:r>
            <w:rPr>
              <w:rFonts w:hint="eastAsia" w:ascii="黑体" w:hAnsi="Times New Roman" w:eastAsia="黑体"/>
              <w:i w:val="0"/>
              <w:szCs w:val="21"/>
              <w:lang w:val="en-US" w:eastAsia="zh-CN"/>
            </w:rPr>
            <w:t xml:space="preserve">7 </w:t>
          </w:r>
          <w:r>
            <w:rPr>
              <w:rFonts w:hint="eastAsia"/>
              <w:highlight w:val="none"/>
              <w:lang w:val="en-US" w:eastAsia="zh-CN"/>
            </w:rPr>
            <w:t>数据分级</w:t>
          </w:r>
          <w:r>
            <w:tab/>
          </w:r>
          <w:r>
            <w:fldChar w:fldCharType="begin"/>
          </w:r>
          <w:r>
            <w:instrText xml:space="preserve"> PAGEREF _Toc13880 \h </w:instrText>
          </w:r>
          <w:r>
            <w:fldChar w:fldCharType="separate"/>
          </w:r>
          <w:r>
            <w:t>22</w:t>
          </w:r>
          <w: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_Toc25453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7.1 </w:t>
          </w:r>
          <w:r>
            <w:rPr>
              <w:rFonts w:hint="eastAsia"/>
              <w:highlight w:val="none"/>
              <w:lang w:val="en-US" w:eastAsia="zh-CN"/>
            </w:rPr>
            <w:t>分级方法</w:t>
          </w:r>
          <w:r>
            <w:rPr>
              <w:rFonts w:hint="eastAsia"/>
              <w:highlight w:val="none"/>
            </w:rPr>
            <w:tab/>
          </w:r>
          <w:r>
            <w:rPr>
              <w:rFonts w:hint="eastAsia"/>
              <w:highlight w:val="none"/>
            </w:rPr>
            <w:fldChar w:fldCharType="begin"/>
          </w:r>
          <w:r>
            <w:rPr>
              <w:rFonts w:hint="eastAsia"/>
              <w:highlight w:val="none"/>
            </w:rPr>
            <w:instrText xml:space="preserve"> PAGEREF _Toc25453 \h </w:instrText>
          </w:r>
          <w:r>
            <w:rPr>
              <w:rFonts w:hint="eastAsia"/>
              <w:highlight w:val="none"/>
            </w:rPr>
            <w:fldChar w:fldCharType="separate"/>
          </w:r>
          <w:r>
            <w:rPr>
              <w:rFonts w:hint="eastAsia"/>
              <w:highlight w:val="none"/>
            </w:rPr>
            <w:t>22</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_Toc20211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7.2 </w:t>
          </w:r>
          <w:r>
            <w:rPr>
              <w:rFonts w:hint="eastAsia"/>
              <w:highlight w:val="none"/>
              <w:lang w:val="en-US" w:eastAsia="zh-CN"/>
            </w:rPr>
            <w:t>数据级别变更</w:t>
          </w:r>
          <w:r>
            <w:rPr>
              <w:rFonts w:hint="eastAsia"/>
              <w:highlight w:val="none"/>
            </w:rPr>
            <w:tab/>
          </w:r>
          <w:r>
            <w:rPr>
              <w:rFonts w:hint="eastAsia"/>
              <w:highlight w:val="none"/>
            </w:rPr>
            <w:fldChar w:fldCharType="begin"/>
          </w:r>
          <w:r>
            <w:rPr>
              <w:rFonts w:hint="eastAsia"/>
              <w:highlight w:val="none"/>
            </w:rPr>
            <w:instrText xml:space="preserve"> PAGEREF _Toc20211 \h </w:instrText>
          </w:r>
          <w:r>
            <w:rPr>
              <w:rFonts w:hint="eastAsia"/>
              <w:highlight w:val="none"/>
            </w:rPr>
            <w:fldChar w:fldCharType="separate"/>
          </w:r>
          <w:r>
            <w:rPr>
              <w:rFonts w:hint="eastAsia"/>
              <w:highlight w:val="none"/>
            </w:rPr>
            <w:t>23</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_Toc11110 </w:instrText>
          </w:r>
          <w:r>
            <w:rPr>
              <w:rFonts w:hint="eastAsia" w:ascii="宋体" w:hAnsi="宋体" w:eastAsia="宋体" w:cs="宋体"/>
              <w:highlight w:val="none"/>
            </w:rPr>
            <w:fldChar w:fldCharType="separate"/>
          </w:r>
          <w:r>
            <w:rPr>
              <w:rFonts w:hint="eastAsia" w:ascii="宋体" w:hAnsi="宋体" w:eastAsia="宋体"/>
              <w:i w:val="0"/>
              <w:szCs w:val="21"/>
              <w:lang w:val="en-US" w:eastAsia="zh-CN"/>
            </w:rPr>
            <w:t xml:space="preserve">8 </w:t>
          </w:r>
          <w:r>
            <w:rPr>
              <w:rFonts w:hint="eastAsia"/>
              <w:highlight w:val="none"/>
              <w:lang w:val="en-US" w:eastAsia="zh-CN"/>
            </w:rPr>
            <w:t>实施流程</w:t>
          </w:r>
          <w:r>
            <w:rPr>
              <w:rFonts w:hint="eastAsia"/>
            </w:rPr>
            <w:tab/>
          </w:r>
          <w:r>
            <w:rPr>
              <w:rFonts w:hint="eastAsia"/>
            </w:rPr>
            <w:fldChar w:fldCharType="begin"/>
          </w:r>
          <w:r>
            <w:rPr>
              <w:rFonts w:hint="eastAsia"/>
            </w:rPr>
            <w:instrText xml:space="preserve"> PAGEREF _Toc11110 \h </w:instrText>
          </w:r>
          <w:r>
            <w:rPr>
              <w:rFonts w:hint="eastAsia"/>
            </w:rPr>
            <w:fldChar w:fldCharType="separate"/>
          </w:r>
          <w:r>
            <w:rPr>
              <w:rFonts w:hint="eastAsia"/>
            </w:rPr>
            <w:t>24</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_Toc4011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8.1 </w:t>
          </w:r>
          <w:r>
            <w:rPr>
              <w:rFonts w:hint="eastAsia"/>
              <w:highlight w:val="none"/>
              <w:lang w:val="en-US" w:eastAsia="zh-CN"/>
            </w:rPr>
            <w:t>总体流程</w:t>
          </w:r>
          <w:r>
            <w:rPr>
              <w:rFonts w:hint="eastAsia"/>
              <w:highlight w:val="none"/>
            </w:rPr>
            <w:tab/>
          </w:r>
          <w:r>
            <w:rPr>
              <w:rFonts w:hint="eastAsia"/>
              <w:highlight w:val="none"/>
            </w:rPr>
            <w:fldChar w:fldCharType="begin"/>
          </w:r>
          <w:r>
            <w:rPr>
              <w:rFonts w:hint="eastAsia"/>
              <w:highlight w:val="none"/>
            </w:rPr>
            <w:instrText xml:space="preserve"> PAGEREF _Toc4011 \h </w:instrText>
          </w:r>
          <w:r>
            <w:rPr>
              <w:rFonts w:hint="eastAsia"/>
              <w:highlight w:val="none"/>
            </w:rPr>
            <w:fldChar w:fldCharType="separate"/>
          </w:r>
          <w:r>
            <w:rPr>
              <w:rFonts w:hint="eastAsia"/>
              <w:highlight w:val="none"/>
            </w:rPr>
            <w:t>24</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_Toc12784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8.2 </w:t>
          </w:r>
          <w:r>
            <w:rPr>
              <w:rFonts w:hint="eastAsia"/>
              <w:highlight w:val="none"/>
              <w:lang w:val="en-US" w:eastAsia="zh-CN"/>
            </w:rPr>
            <w:t>数据资产梳理</w:t>
          </w:r>
          <w:r>
            <w:rPr>
              <w:rFonts w:hint="eastAsia"/>
              <w:highlight w:val="none"/>
            </w:rPr>
            <w:tab/>
          </w:r>
          <w:r>
            <w:rPr>
              <w:rFonts w:hint="eastAsia"/>
              <w:highlight w:val="none"/>
            </w:rPr>
            <w:fldChar w:fldCharType="begin"/>
          </w:r>
          <w:r>
            <w:rPr>
              <w:rFonts w:hint="eastAsia"/>
              <w:highlight w:val="none"/>
            </w:rPr>
            <w:instrText xml:space="preserve"> PAGEREF _Toc12784 \h </w:instrText>
          </w:r>
          <w:r>
            <w:rPr>
              <w:rFonts w:hint="eastAsia"/>
              <w:highlight w:val="none"/>
            </w:rPr>
            <w:fldChar w:fldCharType="separate"/>
          </w:r>
          <w:r>
            <w:rPr>
              <w:rFonts w:hint="eastAsia"/>
              <w:highlight w:val="none"/>
            </w:rPr>
            <w:t>25</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_Toc27152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8.3 </w:t>
          </w:r>
          <w:r>
            <w:rPr>
              <w:rFonts w:hint="eastAsia"/>
              <w:highlight w:val="none"/>
              <w:lang w:val="en-US" w:eastAsia="zh-CN"/>
            </w:rPr>
            <w:t>数据分类</w:t>
          </w:r>
          <w:r>
            <w:rPr>
              <w:rFonts w:hint="eastAsia"/>
              <w:highlight w:val="none"/>
            </w:rPr>
            <w:tab/>
          </w:r>
          <w:r>
            <w:rPr>
              <w:rFonts w:hint="eastAsia"/>
              <w:highlight w:val="none"/>
            </w:rPr>
            <w:fldChar w:fldCharType="begin"/>
          </w:r>
          <w:r>
            <w:rPr>
              <w:rFonts w:hint="eastAsia"/>
              <w:highlight w:val="none"/>
            </w:rPr>
            <w:instrText xml:space="preserve"> PAGEREF _Toc27152 \h </w:instrText>
          </w:r>
          <w:r>
            <w:rPr>
              <w:rFonts w:hint="eastAsia"/>
              <w:highlight w:val="none"/>
            </w:rPr>
            <w:fldChar w:fldCharType="separate"/>
          </w:r>
          <w:r>
            <w:rPr>
              <w:rFonts w:hint="eastAsia"/>
              <w:highlight w:val="none"/>
            </w:rPr>
            <w:t>26</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_Toc80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8.4 </w:t>
          </w:r>
          <w:r>
            <w:rPr>
              <w:rFonts w:hint="eastAsia"/>
              <w:highlight w:val="none"/>
              <w:lang w:val="en-US" w:eastAsia="zh-CN"/>
            </w:rPr>
            <w:t>数据分级</w:t>
          </w:r>
          <w:r>
            <w:rPr>
              <w:rFonts w:hint="eastAsia"/>
              <w:highlight w:val="none"/>
            </w:rPr>
            <w:tab/>
          </w:r>
          <w:r>
            <w:rPr>
              <w:rFonts w:hint="eastAsia"/>
              <w:highlight w:val="none"/>
            </w:rPr>
            <w:fldChar w:fldCharType="begin"/>
          </w:r>
          <w:r>
            <w:rPr>
              <w:rFonts w:hint="eastAsia"/>
              <w:highlight w:val="none"/>
            </w:rPr>
            <w:instrText xml:space="preserve"> PAGEREF _Toc80 \h </w:instrText>
          </w:r>
          <w:r>
            <w:rPr>
              <w:rFonts w:hint="eastAsia"/>
              <w:highlight w:val="none"/>
            </w:rPr>
            <w:fldChar w:fldCharType="separate"/>
          </w:r>
          <w:r>
            <w:rPr>
              <w:rFonts w:hint="eastAsia"/>
              <w:highlight w:val="none"/>
            </w:rPr>
            <w:t>26</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_Toc28514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8.5 </w:t>
          </w:r>
          <w:r>
            <w:rPr>
              <w:rFonts w:hint="eastAsia"/>
              <w:highlight w:val="none"/>
              <w:lang w:val="en-US" w:eastAsia="zh-CN"/>
            </w:rPr>
            <w:t>分类分级结果审核</w:t>
          </w:r>
          <w:r>
            <w:rPr>
              <w:rFonts w:hint="eastAsia"/>
              <w:highlight w:val="none"/>
            </w:rPr>
            <w:tab/>
          </w:r>
          <w:r>
            <w:rPr>
              <w:rFonts w:hint="eastAsia"/>
              <w:highlight w:val="none"/>
            </w:rPr>
            <w:fldChar w:fldCharType="begin"/>
          </w:r>
          <w:r>
            <w:rPr>
              <w:rFonts w:hint="eastAsia"/>
              <w:highlight w:val="none"/>
            </w:rPr>
            <w:instrText xml:space="preserve"> PAGEREF _Toc28514 \h </w:instrText>
          </w:r>
          <w:r>
            <w:rPr>
              <w:rFonts w:hint="eastAsia"/>
              <w:highlight w:val="none"/>
            </w:rPr>
            <w:fldChar w:fldCharType="separate"/>
          </w:r>
          <w:r>
            <w:rPr>
              <w:rFonts w:hint="eastAsia"/>
              <w:highlight w:val="none"/>
            </w:rPr>
            <w:t>26</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_Toc939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8.6 </w:t>
          </w:r>
          <w:r>
            <w:rPr>
              <w:rFonts w:hint="eastAsia"/>
              <w:highlight w:val="none"/>
              <w:lang w:val="en-US" w:eastAsia="zh-CN"/>
            </w:rPr>
            <w:t>数据备案</w:t>
          </w:r>
          <w:r>
            <w:rPr>
              <w:rFonts w:hint="eastAsia"/>
              <w:highlight w:val="none"/>
            </w:rPr>
            <w:tab/>
          </w:r>
          <w:r>
            <w:rPr>
              <w:rFonts w:hint="eastAsia"/>
              <w:highlight w:val="none"/>
            </w:rPr>
            <w:fldChar w:fldCharType="begin"/>
          </w:r>
          <w:r>
            <w:rPr>
              <w:rFonts w:hint="eastAsia"/>
              <w:highlight w:val="none"/>
            </w:rPr>
            <w:instrText xml:space="preserve"> PAGEREF _Toc939 \h </w:instrText>
          </w:r>
          <w:r>
            <w:rPr>
              <w:rFonts w:hint="eastAsia"/>
              <w:highlight w:val="none"/>
            </w:rPr>
            <w:fldChar w:fldCharType="separate"/>
          </w:r>
          <w:r>
            <w:rPr>
              <w:rFonts w:hint="eastAsia"/>
              <w:highlight w:val="none"/>
            </w:rPr>
            <w:t>27</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_Toc32136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8.7 </w:t>
          </w:r>
          <w:r>
            <w:rPr>
              <w:rFonts w:hint="eastAsia"/>
              <w:highlight w:val="none"/>
              <w:lang w:val="en-US" w:eastAsia="zh-CN"/>
            </w:rPr>
            <w:t>数据分类分级管理</w:t>
          </w:r>
          <w:r>
            <w:rPr>
              <w:rFonts w:hint="eastAsia"/>
              <w:highlight w:val="none"/>
            </w:rPr>
            <w:tab/>
          </w:r>
          <w:r>
            <w:rPr>
              <w:rFonts w:hint="eastAsia"/>
              <w:highlight w:val="none"/>
            </w:rPr>
            <w:fldChar w:fldCharType="begin"/>
          </w:r>
          <w:r>
            <w:rPr>
              <w:rFonts w:hint="eastAsia"/>
              <w:highlight w:val="none"/>
            </w:rPr>
            <w:instrText xml:space="preserve"> PAGEREF _Toc32136 \h </w:instrText>
          </w:r>
          <w:r>
            <w:rPr>
              <w:rFonts w:hint="eastAsia"/>
              <w:highlight w:val="none"/>
            </w:rPr>
            <w:fldChar w:fldCharType="separate"/>
          </w:r>
          <w:r>
            <w:rPr>
              <w:rFonts w:hint="eastAsia"/>
              <w:highlight w:val="none"/>
            </w:rPr>
            <w:t>27</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_Toc6710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8.8 </w:t>
          </w:r>
          <w:r>
            <w:rPr>
              <w:rFonts w:hint="eastAsia"/>
              <w:highlight w:val="none"/>
              <w:lang w:val="en-US" w:eastAsia="zh-CN"/>
            </w:rPr>
            <w:t>数据分类分级结果定期审核</w:t>
          </w:r>
          <w:r>
            <w:rPr>
              <w:rFonts w:hint="eastAsia"/>
              <w:highlight w:val="none"/>
            </w:rPr>
            <w:tab/>
          </w:r>
          <w:r>
            <w:rPr>
              <w:rFonts w:hint="eastAsia"/>
              <w:highlight w:val="none"/>
            </w:rPr>
            <w:fldChar w:fldCharType="begin"/>
          </w:r>
          <w:r>
            <w:rPr>
              <w:rFonts w:hint="eastAsia"/>
              <w:highlight w:val="none"/>
            </w:rPr>
            <w:instrText xml:space="preserve"> PAGEREF _Toc6710 \h </w:instrText>
          </w:r>
          <w:r>
            <w:rPr>
              <w:rFonts w:hint="eastAsia"/>
              <w:highlight w:val="none"/>
            </w:rPr>
            <w:fldChar w:fldCharType="separate"/>
          </w:r>
          <w:r>
            <w:rPr>
              <w:rFonts w:hint="eastAsia"/>
              <w:highlight w:val="none"/>
            </w:rPr>
            <w:t>27</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0" w:leftChars="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_Toc23051 </w:instrText>
          </w:r>
          <w:r>
            <w:rPr>
              <w:rFonts w:hint="eastAsia" w:ascii="宋体" w:hAnsi="宋体" w:eastAsia="宋体" w:cs="宋体"/>
              <w:highlight w:val="none"/>
            </w:rPr>
            <w:fldChar w:fldCharType="separate"/>
          </w:r>
          <w:r>
            <w:rPr>
              <w:rFonts w:hint="eastAsia" w:ascii="宋体" w:hAnsi="宋体" w:eastAsia="宋体"/>
              <w:i w:val="0"/>
              <w:szCs w:val="21"/>
              <w:highlight w:val="none"/>
              <w:lang w:val="en-US" w:eastAsia="zh-CN"/>
            </w:rPr>
            <w:t xml:space="preserve">9 </w:t>
          </w:r>
          <w:r>
            <w:rPr>
              <w:rFonts w:hint="eastAsia"/>
              <w:highlight w:val="none"/>
              <w:lang w:val="en-US" w:eastAsia="zh-CN"/>
            </w:rPr>
            <w:t>分级管理体系</w:t>
          </w:r>
          <w:r>
            <w:rPr>
              <w:rFonts w:hint="eastAsia"/>
              <w:highlight w:val="none"/>
            </w:rPr>
            <w:tab/>
          </w:r>
          <w:r>
            <w:rPr>
              <w:rFonts w:hint="eastAsia"/>
              <w:highlight w:val="none"/>
            </w:rPr>
            <w:fldChar w:fldCharType="begin"/>
          </w:r>
          <w:r>
            <w:rPr>
              <w:rFonts w:hint="eastAsia"/>
              <w:highlight w:val="none"/>
            </w:rPr>
            <w:instrText xml:space="preserve"> PAGEREF _Toc23051 \h </w:instrText>
          </w:r>
          <w:r>
            <w:rPr>
              <w:rFonts w:hint="eastAsia"/>
              <w:highlight w:val="none"/>
            </w:rPr>
            <w:fldChar w:fldCharType="separate"/>
          </w:r>
          <w:r>
            <w:rPr>
              <w:rFonts w:hint="eastAsia"/>
              <w:highlight w:val="none"/>
            </w:rPr>
            <w:t>28</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_Toc20904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9.1 </w:t>
          </w:r>
          <w:r>
            <w:rPr>
              <w:rFonts w:hint="eastAsia"/>
              <w:highlight w:val="none"/>
              <w:lang w:val="en-US" w:eastAsia="zh-CN"/>
            </w:rPr>
            <w:t>管理制度</w:t>
          </w:r>
          <w:r>
            <w:rPr>
              <w:rFonts w:hint="eastAsia"/>
              <w:highlight w:val="none"/>
            </w:rPr>
            <w:tab/>
          </w:r>
          <w:r>
            <w:rPr>
              <w:rFonts w:hint="eastAsia"/>
              <w:highlight w:val="none"/>
            </w:rPr>
            <w:fldChar w:fldCharType="begin"/>
          </w:r>
          <w:r>
            <w:rPr>
              <w:rFonts w:hint="eastAsia"/>
              <w:highlight w:val="none"/>
            </w:rPr>
            <w:instrText xml:space="preserve"> PAGEREF _Toc20904 \h </w:instrText>
          </w:r>
          <w:r>
            <w:rPr>
              <w:rFonts w:hint="eastAsia"/>
              <w:highlight w:val="none"/>
            </w:rPr>
            <w:fldChar w:fldCharType="separate"/>
          </w:r>
          <w:r>
            <w:rPr>
              <w:rFonts w:hint="eastAsia"/>
              <w:highlight w:val="none"/>
            </w:rPr>
            <w:t>28</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_Toc21244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9.2 </w:t>
          </w:r>
          <w:r>
            <w:rPr>
              <w:rFonts w:hint="eastAsia"/>
              <w:highlight w:val="none"/>
              <w:lang w:val="en-US" w:eastAsia="zh-CN"/>
            </w:rPr>
            <w:t>管理机构</w:t>
          </w:r>
          <w:r>
            <w:rPr>
              <w:rFonts w:hint="eastAsia"/>
              <w:highlight w:val="none"/>
            </w:rPr>
            <w:tab/>
          </w:r>
          <w:r>
            <w:rPr>
              <w:rFonts w:hint="eastAsia"/>
              <w:highlight w:val="none"/>
            </w:rPr>
            <w:fldChar w:fldCharType="begin"/>
          </w:r>
          <w:r>
            <w:rPr>
              <w:rFonts w:hint="eastAsia"/>
              <w:highlight w:val="none"/>
            </w:rPr>
            <w:instrText xml:space="preserve"> PAGEREF _Toc21244 \h </w:instrText>
          </w:r>
          <w:r>
            <w:rPr>
              <w:rFonts w:hint="eastAsia"/>
              <w:highlight w:val="none"/>
            </w:rPr>
            <w:fldChar w:fldCharType="separate"/>
          </w:r>
          <w:r>
            <w:rPr>
              <w:rFonts w:hint="eastAsia"/>
              <w:highlight w:val="none"/>
            </w:rPr>
            <w:t>28</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_Toc27019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9.3 </w:t>
          </w:r>
          <w:r>
            <w:rPr>
              <w:rFonts w:hint="eastAsia"/>
              <w:highlight w:val="none"/>
              <w:lang w:val="en-US" w:eastAsia="zh-CN"/>
            </w:rPr>
            <w:t>管理人员</w:t>
          </w:r>
          <w:r>
            <w:rPr>
              <w:rFonts w:hint="eastAsia"/>
              <w:highlight w:val="none"/>
            </w:rPr>
            <w:tab/>
          </w:r>
          <w:r>
            <w:rPr>
              <w:rFonts w:hint="eastAsia"/>
              <w:highlight w:val="none"/>
            </w:rPr>
            <w:fldChar w:fldCharType="begin"/>
          </w:r>
          <w:r>
            <w:rPr>
              <w:rFonts w:hint="eastAsia"/>
              <w:highlight w:val="none"/>
            </w:rPr>
            <w:instrText xml:space="preserve"> PAGEREF _Toc27019 \h </w:instrText>
          </w:r>
          <w:r>
            <w:rPr>
              <w:rFonts w:hint="eastAsia"/>
              <w:highlight w:val="none"/>
            </w:rPr>
            <w:fldChar w:fldCharType="separate"/>
          </w:r>
          <w:r>
            <w:rPr>
              <w:rFonts w:hint="eastAsia"/>
              <w:highlight w:val="none"/>
            </w:rPr>
            <w:t>29</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_Toc4910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9.4 </w:t>
          </w:r>
          <w:r>
            <w:rPr>
              <w:rFonts w:hint="eastAsia"/>
              <w:highlight w:val="none"/>
              <w:lang w:val="en-US" w:eastAsia="zh-CN"/>
            </w:rPr>
            <w:t>应急处置</w:t>
          </w:r>
          <w:r>
            <w:rPr>
              <w:rFonts w:hint="eastAsia"/>
              <w:highlight w:val="none"/>
            </w:rPr>
            <w:tab/>
          </w:r>
          <w:r>
            <w:rPr>
              <w:rFonts w:hint="eastAsia"/>
              <w:highlight w:val="none"/>
            </w:rPr>
            <w:fldChar w:fldCharType="begin"/>
          </w:r>
          <w:r>
            <w:rPr>
              <w:rFonts w:hint="eastAsia"/>
              <w:highlight w:val="none"/>
            </w:rPr>
            <w:instrText xml:space="preserve"> PAGEREF _Toc4910 \h </w:instrText>
          </w:r>
          <w:r>
            <w:rPr>
              <w:rFonts w:hint="eastAsia"/>
              <w:highlight w:val="none"/>
            </w:rPr>
            <w:fldChar w:fldCharType="separate"/>
          </w:r>
          <w:r>
            <w:rPr>
              <w:rFonts w:hint="eastAsia"/>
              <w:highlight w:val="none"/>
            </w:rPr>
            <w:t>30</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rPr>
              <w:rFonts w:hint="eastAsia"/>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_Toc22403 </w:instrText>
          </w:r>
          <w:r>
            <w:rPr>
              <w:rFonts w:hint="eastAsia" w:ascii="宋体" w:hAnsi="宋体" w:eastAsia="宋体" w:cs="宋体"/>
              <w:highlight w:val="none"/>
            </w:rPr>
            <w:fldChar w:fldCharType="separate"/>
          </w:r>
          <w:r>
            <w:rPr>
              <w:rFonts w:hint="eastAsia" w:ascii="宋体" w:hAnsi="宋体" w:eastAsia="宋体"/>
              <w:i w:val="0"/>
              <w:szCs w:val="21"/>
              <w:lang w:val="en-US" w:eastAsia="zh-CN"/>
            </w:rPr>
            <w:t xml:space="preserve">10 </w:t>
          </w:r>
          <w:r>
            <w:rPr>
              <w:rFonts w:hint="eastAsia"/>
              <w:highlight w:val="none"/>
              <w:lang w:val="en-US" w:eastAsia="zh-CN"/>
            </w:rPr>
            <w:t>分级技术体系</w:t>
          </w:r>
          <w:r>
            <w:rPr>
              <w:rFonts w:hint="eastAsia"/>
            </w:rPr>
            <w:tab/>
          </w:r>
          <w:r>
            <w:rPr>
              <w:rFonts w:hint="eastAsia"/>
            </w:rPr>
            <w:fldChar w:fldCharType="begin"/>
          </w:r>
          <w:r>
            <w:rPr>
              <w:rFonts w:hint="eastAsia"/>
            </w:rPr>
            <w:instrText xml:space="preserve"> PAGEREF _Toc22403 \h </w:instrText>
          </w:r>
          <w:r>
            <w:rPr>
              <w:rFonts w:hint="eastAsia"/>
            </w:rPr>
            <w:fldChar w:fldCharType="separate"/>
          </w:r>
          <w:r>
            <w:rPr>
              <w:rFonts w:hint="eastAsia"/>
            </w:rPr>
            <w:t>31</w:t>
          </w:r>
          <w:r>
            <w:rPr>
              <w:rFonts w:hint="eastAsia"/>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_Toc27449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10.1 </w:t>
          </w:r>
          <w:r>
            <w:rPr>
              <w:rFonts w:hint="eastAsia"/>
              <w:highlight w:val="none"/>
              <w:lang w:val="en-US" w:eastAsia="zh-CN"/>
            </w:rPr>
            <w:t>工业数据采集</w:t>
          </w:r>
          <w:r>
            <w:rPr>
              <w:rFonts w:hint="eastAsia"/>
              <w:highlight w:val="none"/>
            </w:rPr>
            <w:tab/>
          </w:r>
          <w:r>
            <w:rPr>
              <w:rFonts w:hint="eastAsia"/>
              <w:highlight w:val="none"/>
            </w:rPr>
            <w:fldChar w:fldCharType="begin"/>
          </w:r>
          <w:r>
            <w:rPr>
              <w:rFonts w:hint="eastAsia"/>
              <w:highlight w:val="none"/>
            </w:rPr>
            <w:instrText xml:space="preserve"> PAGEREF _Toc27449 \h </w:instrText>
          </w:r>
          <w:r>
            <w:rPr>
              <w:rFonts w:hint="eastAsia"/>
              <w:highlight w:val="none"/>
            </w:rPr>
            <w:fldChar w:fldCharType="separate"/>
          </w:r>
          <w:r>
            <w:rPr>
              <w:rFonts w:hint="eastAsia"/>
              <w:highlight w:val="none"/>
            </w:rPr>
            <w:t>31</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_Toc24744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10.2 </w:t>
          </w:r>
          <w:r>
            <w:rPr>
              <w:rFonts w:hint="eastAsia"/>
              <w:highlight w:val="none"/>
              <w:lang w:val="en-US" w:eastAsia="zh-CN"/>
            </w:rPr>
            <w:t>工业数据存储</w:t>
          </w:r>
          <w:r>
            <w:rPr>
              <w:rFonts w:hint="eastAsia"/>
              <w:highlight w:val="none"/>
            </w:rPr>
            <w:tab/>
          </w:r>
          <w:r>
            <w:rPr>
              <w:rFonts w:hint="eastAsia"/>
              <w:highlight w:val="none"/>
            </w:rPr>
            <w:fldChar w:fldCharType="begin"/>
          </w:r>
          <w:r>
            <w:rPr>
              <w:rFonts w:hint="eastAsia"/>
              <w:highlight w:val="none"/>
            </w:rPr>
            <w:instrText xml:space="preserve"> PAGEREF _Toc24744 \h </w:instrText>
          </w:r>
          <w:r>
            <w:rPr>
              <w:rFonts w:hint="eastAsia"/>
              <w:highlight w:val="none"/>
            </w:rPr>
            <w:fldChar w:fldCharType="separate"/>
          </w:r>
          <w:r>
            <w:rPr>
              <w:rFonts w:hint="eastAsia"/>
              <w:highlight w:val="none"/>
            </w:rPr>
            <w:t>32</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_Toc13975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10.3 </w:t>
          </w:r>
          <w:r>
            <w:rPr>
              <w:rFonts w:hint="eastAsia"/>
              <w:highlight w:val="none"/>
              <w:lang w:val="en-US" w:eastAsia="zh-CN"/>
            </w:rPr>
            <w:t>工业数据使用</w:t>
          </w:r>
          <w:r>
            <w:rPr>
              <w:rFonts w:hint="eastAsia"/>
              <w:highlight w:val="none"/>
            </w:rPr>
            <w:tab/>
          </w:r>
          <w:r>
            <w:rPr>
              <w:rFonts w:hint="eastAsia"/>
              <w:highlight w:val="none"/>
            </w:rPr>
            <w:fldChar w:fldCharType="begin"/>
          </w:r>
          <w:r>
            <w:rPr>
              <w:rFonts w:hint="eastAsia"/>
              <w:highlight w:val="none"/>
            </w:rPr>
            <w:instrText xml:space="preserve"> PAGEREF _Toc13975 \h </w:instrText>
          </w:r>
          <w:r>
            <w:rPr>
              <w:rFonts w:hint="eastAsia"/>
              <w:highlight w:val="none"/>
            </w:rPr>
            <w:fldChar w:fldCharType="separate"/>
          </w:r>
          <w:r>
            <w:rPr>
              <w:rFonts w:hint="eastAsia"/>
              <w:highlight w:val="none"/>
            </w:rPr>
            <w:t>34</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_Toc31300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10.4 </w:t>
          </w:r>
          <w:r>
            <w:rPr>
              <w:rFonts w:hint="eastAsia"/>
              <w:highlight w:val="none"/>
              <w:lang w:val="en-US" w:eastAsia="zh-CN"/>
            </w:rPr>
            <w:t>工业数据加工</w:t>
          </w:r>
          <w:r>
            <w:rPr>
              <w:rFonts w:hint="eastAsia"/>
              <w:highlight w:val="none"/>
            </w:rPr>
            <w:tab/>
          </w:r>
          <w:r>
            <w:rPr>
              <w:rFonts w:hint="eastAsia"/>
              <w:highlight w:val="none"/>
            </w:rPr>
            <w:fldChar w:fldCharType="begin"/>
          </w:r>
          <w:r>
            <w:rPr>
              <w:rFonts w:hint="eastAsia"/>
              <w:highlight w:val="none"/>
            </w:rPr>
            <w:instrText xml:space="preserve"> PAGEREF _Toc31300 \h </w:instrText>
          </w:r>
          <w:r>
            <w:rPr>
              <w:rFonts w:hint="eastAsia"/>
              <w:highlight w:val="none"/>
            </w:rPr>
            <w:fldChar w:fldCharType="separate"/>
          </w:r>
          <w:r>
            <w:rPr>
              <w:rFonts w:hint="eastAsia"/>
              <w:highlight w:val="none"/>
            </w:rPr>
            <w:t>35</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_Toc26173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10.5 </w:t>
          </w:r>
          <w:r>
            <w:rPr>
              <w:rFonts w:hint="eastAsia"/>
              <w:highlight w:val="none"/>
              <w:lang w:val="en-US" w:eastAsia="zh-CN"/>
            </w:rPr>
            <w:t>工业数据传输</w:t>
          </w:r>
          <w:r>
            <w:rPr>
              <w:rFonts w:hint="eastAsia"/>
              <w:highlight w:val="none"/>
            </w:rPr>
            <w:tab/>
          </w:r>
          <w:r>
            <w:rPr>
              <w:rFonts w:hint="eastAsia"/>
              <w:highlight w:val="none"/>
            </w:rPr>
            <w:fldChar w:fldCharType="begin"/>
          </w:r>
          <w:r>
            <w:rPr>
              <w:rFonts w:hint="eastAsia"/>
              <w:highlight w:val="none"/>
            </w:rPr>
            <w:instrText xml:space="preserve"> PAGEREF _Toc26173 \h </w:instrText>
          </w:r>
          <w:r>
            <w:rPr>
              <w:rFonts w:hint="eastAsia"/>
              <w:highlight w:val="none"/>
            </w:rPr>
            <w:fldChar w:fldCharType="separate"/>
          </w:r>
          <w:r>
            <w:rPr>
              <w:rFonts w:hint="eastAsia"/>
              <w:highlight w:val="none"/>
            </w:rPr>
            <w:t>36</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_Toc9989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10.6 </w:t>
          </w:r>
          <w:r>
            <w:rPr>
              <w:rFonts w:hint="eastAsia"/>
              <w:highlight w:val="none"/>
              <w:lang w:val="en-US" w:eastAsia="zh-CN"/>
            </w:rPr>
            <w:t>工业数据共享</w:t>
          </w:r>
          <w:r>
            <w:rPr>
              <w:rFonts w:hint="eastAsia"/>
              <w:highlight w:val="none"/>
            </w:rPr>
            <w:tab/>
          </w:r>
          <w:r>
            <w:rPr>
              <w:rFonts w:hint="eastAsia"/>
              <w:highlight w:val="none"/>
            </w:rPr>
            <w:fldChar w:fldCharType="begin"/>
          </w:r>
          <w:r>
            <w:rPr>
              <w:rFonts w:hint="eastAsia"/>
              <w:highlight w:val="none"/>
            </w:rPr>
            <w:instrText xml:space="preserve"> PAGEREF _Toc9989 \h </w:instrText>
          </w:r>
          <w:r>
            <w:rPr>
              <w:rFonts w:hint="eastAsia"/>
              <w:highlight w:val="none"/>
            </w:rPr>
            <w:fldChar w:fldCharType="separate"/>
          </w:r>
          <w:r>
            <w:rPr>
              <w:rFonts w:hint="eastAsia"/>
              <w:highlight w:val="none"/>
            </w:rPr>
            <w:t>37</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_Toc6529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10.7 </w:t>
          </w:r>
          <w:r>
            <w:rPr>
              <w:rFonts w:hint="eastAsia"/>
              <w:highlight w:val="none"/>
              <w:lang w:val="en-US" w:eastAsia="zh-CN"/>
            </w:rPr>
            <w:t>工业数据开放</w:t>
          </w:r>
          <w:r>
            <w:rPr>
              <w:rFonts w:hint="eastAsia"/>
              <w:highlight w:val="none"/>
            </w:rPr>
            <w:tab/>
          </w:r>
          <w:r>
            <w:rPr>
              <w:rFonts w:hint="eastAsia"/>
              <w:highlight w:val="none"/>
            </w:rPr>
            <w:fldChar w:fldCharType="begin"/>
          </w:r>
          <w:r>
            <w:rPr>
              <w:rFonts w:hint="eastAsia"/>
              <w:highlight w:val="none"/>
            </w:rPr>
            <w:instrText xml:space="preserve"> PAGEREF _Toc6529 \h </w:instrText>
          </w:r>
          <w:r>
            <w:rPr>
              <w:rFonts w:hint="eastAsia"/>
              <w:highlight w:val="none"/>
            </w:rPr>
            <w:fldChar w:fldCharType="separate"/>
          </w:r>
          <w:r>
            <w:rPr>
              <w:rFonts w:hint="eastAsia"/>
              <w:highlight w:val="none"/>
            </w:rPr>
            <w:t>38</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_Toc6850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10.8 </w:t>
          </w:r>
          <w:r>
            <w:rPr>
              <w:rFonts w:hint="eastAsia"/>
              <w:highlight w:val="none"/>
              <w:lang w:val="en-US" w:eastAsia="zh-CN"/>
            </w:rPr>
            <w:t>工业数据销毁</w:t>
          </w:r>
          <w:r>
            <w:rPr>
              <w:rFonts w:hint="eastAsia"/>
              <w:highlight w:val="none"/>
            </w:rPr>
            <w:tab/>
          </w:r>
          <w:r>
            <w:rPr>
              <w:rFonts w:hint="eastAsia"/>
              <w:highlight w:val="none"/>
            </w:rPr>
            <w:fldChar w:fldCharType="begin"/>
          </w:r>
          <w:r>
            <w:rPr>
              <w:rFonts w:hint="eastAsia"/>
              <w:highlight w:val="none"/>
            </w:rPr>
            <w:instrText xml:space="preserve"> PAGEREF _Toc6850 \h </w:instrText>
          </w:r>
          <w:r>
            <w:rPr>
              <w:rFonts w:hint="eastAsia"/>
              <w:highlight w:val="none"/>
            </w:rPr>
            <w:fldChar w:fldCharType="separate"/>
          </w:r>
          <w:r>
            <w:rPr>
              <w:rFonts w:hint="eastAsia"/>
              <w:highlight w:val="none"/>
            </w:rPr>
            <w:t>39</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_Toc26451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10.9 </w:t>
          </w:r>
          <w:r>
            <w:rPr>
              <w:rFonts w:hint="eastAsia"/>
              <w:highlight w:val="none"/>
              <w:lang w:val="en-US" w:eastAsia="zh-CN"/>
            </w:rPr>
            <w:t>工业数据出境</w:t>
          </w:r>
          <w:r>
            <w:rPr>
              <w:rFonts w:hint="eastAsia"/>
              <w:highlight w:val="none"/>
            </w:rPr>
            <w:tab/>
          </w:r>
          <w:r>
            <w:rPr>
              <w:rFonts w:hint="eastAsia"/>
              <w:highlight w:val="none"/>
            </w:rPr>
            <w:fldChar w:fldCharType="begin"/>
          </w:r>
          <w:r>
            <w:rPr>
              <w:rFonts w:hint="eastAsia"/>
              <w:highlight w:val="none"/>
            </w:rPr>
            <w:instrText xml:space="preserve"> PAGEREF _Toc26451 \h </w:instrText>
          </w:r>
          <w:r>
            <w:rPr>
              <w:rFonts w:hint="eastAsia"/>
              <w:highlight w:val="none"/>
            </w:rPr>
            <w:fldChar w:fldCharType="separate"/>
          </w:r>
          <w:r>
            <w:rPr>
              <w:rFonts w:hint="eastAsia"/>
              <w:highlight w:val="none"/>
            </w:rPr>
            <w:t>40</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_Toc16724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10.10 </w:t>
          </w:r>
          <w:r>
            <w:rPr>
              <w:rFonts w:hint="eastAsia"/>
              <w:highlight w:val="none"/>
              <w:lang w:val="en-US" w:eastAsia="zh-CN"/>
            </w:rPr>
            <w:t>工业数据转移</w:t>
          </w:r>
          <w:r>
            <w:rPr>
              <w:rFonts w:hint="eastAsia"/>
              <w:highlight w:val="none"/>
            </w:rPr>
            <w:tab/>
          </w:r>
          <w:r>
            <w:rPr>
              <w:rFonts w:hint="eastAsia"/>
              <w:highlight w:val="none"/>
            </w:rPr>
            <w:fldChar w:fldCharType="begin"/>
          </w:r>
          <w:r>
            <w:rPr>
              <w:rFonts w:hint="eastAsia"/>
              <w:highlight w:val="none"/>
            </w:rPr>
            <w:instrText xml:space="preserve"> PAGEREF _Toc16724 \h </w:instrText>
          </w:r>
          <w:r>
            <w:rPr>
              <w:rFonts w:hint="eastAsia"/>
              <w:highlight w:val="none"/>
            </w:rPr>
            <w:fldChar w:fldCharType="separate"/>
          </w:r>
          <w:r>
            <w:rPr>
              <w:rFonts w:hint="eastAsia"/>
              <w:highlight w:val="none"/>
            </w:rPr>
            <w:t>40</w:t>
          </w:r>
          <w:r>
            <w:rPr>
              <w:rFonts w:hint="eastAsia"/>
              <w:highlight w:val="none"/>
            </w:rPr>
            <w:fldChar w:fldCharType="end"/>
          </w:r>
          <w:r>
            <w:rPr>
              <w:rFonts w:hint="eastAsia" w:ascii="宋体" w:hAnsi="宋体" w:eastAsia="宋体" w:cs="宋体"/>
              <w:highlight w:val="none"/>
            </w:rPr>
            <w:fldChar w:fldCharType="end"/>
          </w:r>
        </w:p>
        <w:p>
          <w:pPr>
            <w:pStyle w:val="17"/>
            <w:tabs>
              <w:tab w:val="right" w:leader="dot" w:pos="9355"/>
              <w:tab w:val="clear" w:pos="9242"/>
            </w:tabs>
            <w:ind w:left="210" w:leftChars="100"/>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_Toc8744 </w:instrText>
          </w:r>
          <w:r>
            <w:rPr>
              <w:rFonts w:hint="eastAsia" w:ascii="宋体" w:hAnsi="宋体" w:eastAsia="宋体" w:cs="宋体"/>
              <w:highlight w:val="none"/>
            </w:rPr>
            <w:fldChar w:fldCharType="separate"/>
          </w:r>
          <w:r>
            <w:rPr>
              <w:rFonts w:hint="eastAsia" w:ascii="宋体" w:hAnsi="宋体" w:eastAsia="宋体" w:cs="宋体"/>
              <w:bCs w:val="0"/>
              <w:i w:val="0"/>
              <w:iCs w:val="0"/>
              <w:caps w:val="0"/>
              <w:strike w:val="0"/>
              <w:dstrike w:val="0"/>
              <w:vanish w:val="0"/>
              <w:spacing w:val="0"/>
              <w:kern w:val="2"/>
              <w:position w:val="0"/>
              <w:szCs w:val="21"/>
              <w:highlight w:val="none"/>
              <w:vertAlign w:val="baseline"/>
              <w:lang w:val="en-US" w:eastAsia="zh-CN"/>
            </w:rPr>
            <w:t xml:space="preserve">10.11 </w:t>
          </w:r>
          <w:r>
            <w:rPr>
              <w:rFonts w:hint="eastAsia"/>
              <w:highlight w:val="none"/>
              <w:lang w:val="en-US" w:eastAsia="zh-CN"/>
            </w:rPr>
            <w:t>工业数据委托处理</w:t>
          </w:r>
          <w:r>
            <w:rPr>
              <w:rFonts w:hint="eastAsia"/>
              <w:highlight w:val="none"/>
            </w:rPr>
            <w:tab/>
          </w:r>
          <w:r>
            <w:rPr>
              <w:rFonts w:hint="eastAsia"/>
              <w:highlight w:val="none"/>
            </w:rPr>
            <w:fldChar w:fldCharType="begin"/>
          </w:r>
          <w:r>
            <w:rPr>
              <w:rFonts w:hint="eastAsia"/>
              <w:highlight w:val="none"/>
            </w:rPr>
            <w:instrText xml:space="preserve"> PAGEREF _Toc8744 \h </w:instrText>
          </w:r>
          <w:r>
            <w:rPr>
              <w:rFonts w:hint="eastAsia"/>
              <w:highlight w:val="none"/>
            </w:rPr>
            <w:fldChar w:fldCharType="separate"/>
          </w:r>
          <w:r>
            <w:rPr>
              <w:rFonts w:hint="eastAsia"/>
              <w:highlight w:val="none"/>
            </w:rPr>
            <w:t>41</w:t>
          </w:r>
          <w:r>
            <w:rPr>
              <w:rFonts w:hint="eastAsia"/>
              <w:highlight w:val="none"/>
            </w:rPr>
            <w:fldChar w:fldCharType="end"/>
          </w:r>
          <w:r>
            <w:rPr>
              <w:rFonts w:hint="eastAsia" w:ascii="宋体" w:hAnsi="宋体" w:eastAsia="宋体" w:cs="宋体"/>
              <w:highlight w:val="none"/>
            </w:rPr>
            <w:fldChar w:fldCharType="end"/>
          </w:r>
        </w:p>
        <w:p>
          <w:pPr>
            <w:pStyle w:val="15"/>
            <w:tabs>
              <w:tab w:val="right" w:leader="dot" w:pos="9355"/>
              <w:tab w:val="clear" w:pos="9242"/>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_Toc26965 </w:instrText>
          </w:r>
          <w:r>
            <w:rPr>
              <w:rFonts w:hint="eastAsia" w:ascii="宋体" w:hAnsi="宋体" w:eastAsia="宋体" w:cs="宋体"/>
              <w:highlight w:val="none"/>
            </w:rPr>
            <w:fldChar w:fldCharType="separate"/>
          </w:r>
          <w:r>
            <w:rPr>
              <w:rFonts w:hint="eastAsia"/>
              <w:szCs w:val="21"/>
              <w:highlight w:val="none"/>
              <w:lang w:val="en-US" w:eastAsia="zh-CN"/>
            </w:rPr>
            <w:t>参考文献</w:t>
          </w:r>
          <w:r>
            <w:rPr>
              <w:rFonts w:hint="eastAsia"/>
            </w:rPr>
            <w:tab/>
          </w:r>
          <w:r>
            <w:rPr>
              <w:rFonts w:hint="eastAsia"/>
            </w:rPr>
            <w:fldChar w:fldCharType="begin"/>
          </w:r>
          <w:r>
            <w:rPr>
              <w:rFonts w:hint="eastAsia"/>
            </w:rPr>
            <w:instrText xml:space="preserve"> PAGEREF _Toc26965 \h </w:instrText>
          </w:r>
          <w:r>
            <w:rPr>
              <w:rFonts w:hint="eastAsia"/>
            </w:rPr>
            <w:fldChar w:fldCharType="separate"/>
          </w:r>
          <w:r>
            <w:rPr>
              <w:rFonts w:hint="eastAsia"/>
            </w:rPr>
            <w:t>42</w:t>
          </w:r>
          <w:r>
            <w:rPr>
              <w:rFonts w:hint="eastAsia"/>
            </w:rPr>
            <w:fldChar w:fldCharType="end"/>
          </w:r>
          <w:r>
            <w:rPr>
              <w:rFonts w:hint="eastAsia" w:ascii="宋体" w:hAnsi="宋体" w:eastAsia="宋体" w:cs="宋体"/>
              <w:highlight w:val="none"/>
            </w:rPr>
            <w:fldChar w:fldCharType="end"/>
          </w:r>
        </w:p>
        <w:p>
          <w:pPr>
            <w:pStyle w:val="11"/>
            <w:keepNext w:val="0"/>
            <w:keepLines w:val="0"/>
            <w:pageBreakBefore w:val="0"/>
            <w:widowControl w:val="0"/>
            <w:tabs>
              <w:tab w:val="right" w:leader="dot" w:pos="9355"/>
              <w:tab w:val="clear" w:pos="9241"/>
            </w:tabs>
            <w:kinsoku/>
            <w:wordWrap/>
            <w:overflowPunct/>
            <w:topLinePunct w:val="0"/>
            <w:autoSpaceDE/>
            <w:autoSpaceDN/>
            <w:bidi w:val="0"/>
            <w:adjustRightInd/>
            <w:snapToGrid/>
            <w:spacing w:after="79" w:afterLines="25" w:line="25" w:lineRule="atLeast"/>
            <w:ind w:left="0" w:leftChars="0" w:firstLine="0" w:firstLineChars="0"/>
            <w:textAlignment w:val="auto"/>
            <w:rPr>
              <w:rFonts w:hint="eastAsia" w:ascii="宋体" w:hAnsi="宋体" w:eastAsia="宋体" w:cs="宋体"/>
              <w:color w:val="auto"/>
              <w:highlight w:val="none"/>
            </w:rPr>
            <w:sectPr>
              <w:headerReference r:id="rId5" w:type="default"/>
              <w:footerReference r:id="rId6" w:type="default"/>
              <w:footerReference r:id="rId7" w:type="even"/>
              <w:pgSz w:w="11906" w:h="16838"/>
              <w:pgMar w:top="1417" w:right="1134" w:bottom="1134" w:left="1417" w:header="1418" w:footer="1134" w:gutter="0"/>
              <w:pgBorders>
                <w:top w:val="none" w:sz="0" w:space="0"/>
                <w:left w:val="none" w:sz="0" w:space="0"/>
                <w:bottom w:val="none" w:sz="0" w:space="0"/>
                <w:right w:val="none" w:sz="0" w:space="0"/>
              </w:pgBorders>
              <w:pgNumType w:fmt="upperRoman" w:start="1"/>
              <w:cols w:space="0" w:num="1"/>
              <w:formProt w:val="0"/>
              <w:docGrid w:type="lines" w:linePitch="312" w:charSpace="0"/>
            </w:sectPr>
          </w:pPr>
          <w:r>
            <w:rPr>
              <w:rFonts w:hint="eastAsia" w:ascii="宋体" w:hAnsi="宋体" w:eastAsia="宋体" w:cs="宋体"/>
              <w:highlight w:val="none"/>
            </w:rPr>
            <w:fldChar w:fldCharType="end"/>
          </w:r>
        </w:p>
      </w:sdtContent>
    </w:sdt>
    <w:p>
      <w:pPr>
        <w:pStyle w:val="46"/>
        <w:shd w:val="clear" w:color="FFFFFF"/>
        <w:spacing w:line="360" w:lineRule="auto"/>
        <w:rPr>
          <w:rFonts w:hAnsi="黑体" w:cs="黑体"/>
          <w:color w:val="auto"/>
          <w:highlight w:val="none"/>
        </w:rPr>
      </w:pPr>
      <w:bookmarkStart w:id="2" w:name="_Toc25327"/>
      <w:bookmarkStart w:id="3" w:name="_Toc24066"/>
      <w:bookmarkStart w:id="4" w:name="_Toc12668"/>
      <w:bookmarkStart w:id="5" w:name="_Toc1316"/>
      <w:bookmarkStart w:id="6" w:name="_Toc21164"/>
      <w:bookmarkStart w:id="7" w:name="_Toc28728"/>
      <w:bookmarkStart w:id="8" w:name="_Toc25294"/>
      <w:bookmarkStart w:id="9" w:name="_Toc29227"/>
      <w:bookmarkStart w:id="10" w:name="_Toc14160"/>
      <w:bookmarkStart w:id="11" w:name="_Toc23688"/>
      <w:bookmarkStart w:id="12" w:name="_Toc10715"/>
      <w:bookmarkStart w:id="13" w:name="_Toc14285"/>
      <w:bookmarkStart w:id="14" w:name="_Toc25738"/>
      <w:bookmarkStart w:id="15" w:name="_Toc18819"/>
      <w:bookmarkStart w:id="16" w:name="_Toc25148"/>
      <w:bookmarkStart w:id="17" w:name="_Toc22413"/>
      <w:bookmarkStart w:id="18" w:name="_Toc12415"/>
      <w:bookmarkStart w:id="19" w:name="_Toc25755"/>
      <w:bookmarkStart w:id="20" w:name="_Toc13148"/>
      <w:bookmarkStart w:id="21" w:name="_Toc21536"/>
      <w:bookmarkStart w:id="22" w:name="_Toc844"/>
      <w:bookmarkStart w:id="23" w:name="_Toc18704"/>
      <w:bookmarkStart w:id="24" w:name="_Toc543"/>
      <w:r>
        <w:rPr>
          <w:rFonts w:hint="eastAsia" w:hAnsi="黑体" w:cs="黑体"/>
          <w:color w:val="auto"/>
          <w:highlight w:val="none"/>
        </w:rPr>
        <w:t>前</w:t>
      </w:r>
      <w:bookmarkStart w:id="25" w:name="BKQY"/>
      <w:r>
        <w:rPr>
          <w:rFonts w:hint="eastAsia" w:hAnsi="黑体" w:cs="黑体"/>
          <w:color w:val="auto"/>
          <w:highlight w:val="none"/>
        </w:rPr>
        <w:t>  言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25"/>
        <w:spacing w:line="360" w:lineRule="auto"/>
        <w:rPr>
          <w:rFonts w:hAnsi="宋体"/>
          <w:color w:val="auto"/>
          <w:highlight w:val="none"/>
        </w:rPr>
      </w:pPr>
      <w:r>
        <w:rPr>
          <w:rFonts w:hint="eastAsia" w:hAnsi="宋体"/>
          <w:color w:val="auto"/>
          <w:highlight w:val="none"/>
        </w:rPr>
        <w:t>本文件按照</w:t>
      </w:r>
      <w:r>
        <w:rPr>
          <w:rFonts w:hint="eastAsia" w:ascii="宋体" w:hAnsi="宋体"/>
          <w:color w:val="auto"/>
          <w:highlight w:val="none"/>
        </w:rPr>
        <w:t>GB</w:t>
      </w:r>
      <w:r>
        <w:rPr>
          <w:rFonts w:hint="eastAsia" w:hAnsi="宋体"/>
          <w:color w:val="auto"/>
          <w:highlight w:val="none"/>
        </w:rPr>
        <w:t>/</w:t>
      </w:r>
      <w:r>
        <w:rPr>
          <w:rFonts w:hint="eastAsia" w:ascii="宋体" w:hAnsi="宋体"/>
          <w:color w:val="auto"/>
          <w:highlight w:val="none"/>
        </w:rPr>
        <w:t>T</w:t>
      </w:r>
      <w:r>
        <w:rPr>
          <w:rFonts w:hint="eastAsia" w:hAnsi="宋体"/>
          <w:color w:val="auto"/>
          <w:highlight w:val="none"/>
          <w:lang w:val="en-US" w:eastAsia="zh-CN"/>
        </w:rPr>
        <w:t xml:space="preserve"> </w:t>
      </w:r>
      <w:r>
        <w:rPr>
          <w:rFonts w:hint="eastAsia" w:ascii="宋体" w:hAnsi="宋体" w:eastAsia="宋体" w:cs="宋体"/>
          <w:color w:val="auto"/>
          <w:highlight w:val="none"/>
        </w:rPr>
        <w:t>1</w:t>
      </w:r>
      <w:r>
        <w:rPr>
          <w:rFonts w:hint="eastAsia" w:hAnsi="宋体"/>
          <w:color w:val="auto"/>
          <w:highlight w:val="none"/>
        </w:rPr>
        <w:t>.</w:t>
      </w:r>
      <w:r>
        <w:rPr>
          <w:rFonts w:hint="eastAsia" w:ascii="宋体" w:hAnsi="宋体" w:eastAsia="宋体" w:cs="宋体"/>
          <w:color w:val="auto"/>
          <w:highlight w:val="none"/>
        </w:rPr>
        <w:t>1</w:t>
      </w:r>
      <w:r>
        <w:rPr>
          <w:rFonts w:hint="eastAsia" w:hAnsi="宋体"/>
          <w:color w:val="auto"/>
          <w:highlight w:val="none"/>
        </w:rPr>
        <w:t>-</w:t>
      </w:r>
      <w:r>
        <w:rPr>
          <w:rFonts w:hint="eastAsia" w:ascii="宋体" w:hAnsi="宋体" w:eastAsia="宋体" w:cs="宋体"/>
          <w:color w:val="auto"/>
          <w:highlight w:val="none"/>
        </w:rPr>
        <w:t>2020</w:t>
      </w:r>
      <w:r>
        <w:rPr>
          <w:rFonts w:hint="eastAsia" w:hAnsi="宋体"/>
          <w:color w:val="auto"/>
          <w:highlight w:val="none"/>
        </w:rPr>
        <w:t>《标准化工作导则第</w:t>
      </w:r>
      <w:r>
        <w:rPr>
          <w:rFonts w:hint="eastAsia" w:ascii="宋体" w:hAnsi="宋体" w:eastAsia="宋体" w:cs="宋体"/>
          <w:color w:val="auto"/>
          <w:highlight w:val="none"/>
        </w:rPr>
        <w:t>1</w:t>
      </w:r>
      <w:r>
        <w:rPr>
          <w:rFonts w:hint="eastAsia" w:hAnsi="宋体"/>
          <w:color w:val="auto"/>
          <w:highlight w:val="none"/>
        </w:rPr>
        <w:t>部分</w:t>
      </w:r>
      <w:r>
        <w:rPr>
          <w:rFonts w:hint="eastAsia" w:ascii="宋体" w:hAnsi="宋体"/>
          <w:color w:val="auto"/>
          <w:highlight w:val="none"/>
          <w:lang w:eastAsia="zh-CN"/>
        </w:rPr>
        <w:t>：</w:t>
      </w:r>
      <w:r>
        <w:rPr>
          <w:rFonts w:hint="eastAsia" w:hAnsi="宋体"/>
          <w:color w:val="auto"/>
          <w:highlight w:val="none"/>
        </w:rPr>
        <w:t>标准化文件的结构和起草规则》的规</w:t>
      </w:r>
      <w:r>
        <w:rPr>
          <w:rFonts w:hAnsi="宋体"/>
          <w:color w:val="auto"/>
          <w:highlight w:val="none"/>
        </w:rPr>
        <w:t>定</w:t>
      </w:r>
      <w:r>
        <w:rPr>
          <w:rFonts w:hint="eastAsia" w:hAnsi="宋体"/>
          <w:color w:val="auto"/>
          <w:highlight w:val="none"/>
        </w:rPr>
        <w:t>起草。</w:t>
      </w:r>
    </w:p>
    <w:p>
      <w:pPr>
        <w:pStyle w:val="25"/>
        <w:spacing w:line="360" w:lineRule="auto"/>
        <w:rPr>
          <w:rFonts w:hAnsi="宋体"/>
          <w:color w:val="auto"/>
          <w:highlight w:val="none"/>
        </w:rPr>
      </w:pPr>
      <w:r>
        <w:rPr>
          <w:rFonts w:hint="eastAsia" w:hAnsi="宋体"/>
          <w:color w:val="auto"/>
          <w:highlight w:val="none"/>
        </w:rPr>
        <w:t>请注意本文件的某些内容可能涉及专利。本文件的发布机构不承担识别专利的责任。</w:t>
      </w:r>
    </w:p>
    <w:p>
      <w:pPr>
        <w:pStyle w:val="25"/>
        <w:spacing w:line="360" w:lineRule="auto"/>
        <w:rPr>
          <w:rFonts w:hAnsi="宋体"/>
          <w:color w:val="auto"/>
          <w:highlight w:val="none"/>
        </w:rPr>
      </w:pPr>
      <w:r>
        <w:rPr>
          <w:rFonts w:hint="eastAsia" w:hAnsi="宋体"/>
          <w:color w:val="auto"/>
          <w:highlight w:val="none"/>
        </w:rPr>
        <w:t>本文件</w:t>
      </w:r>
      <w:r>
        <w:rPr>
          <w:rFonts w:hAnsi="宋体"/>
          <w:color w:val="auto"/>
          <w:highlight w:val="none"/>
        </w:rPr>
        <w:t>由</w:t>
      </w:r>
      <w:r>
        <w:rPr>
          <w:rFonts w:hint="eastAsia" w:hAnsi="宋体"/>
          <w:color w:val="auto"/>
          <w:highlight w:val="none"/>
          <w:lang w:val="en-US" w:eastAsia="zh-CN"/>
        </w:rPr>
        <w:t>辽宁省工业和信息化厅</w:t>
      </w:r>
      <w:r>
        <w:rPr>
          <w:rFonts w:hAnsi="宋体"/>
          <w:color w:val="auto"/>
          <w:highlight w:val="none"/>
        </w:rPr>
        <w:t>提出</w:t>
      </w:r>
      <w:r>
        <w:rPr>
          <w:rFonts w:hint="eastAsia" w:hAnsi="宋体"/>
          <w:color w:val="auto"/>
          <w:highlight w:val="none"/>
          <w:lang w:val="en-US" w:eastAsia="zh-CN"/>
        </w:rPr>
        <w:t>并归口</w:t>
      </w:r>
      <w:r>
        <w:rPr>
          <w:rFonts w:hAnsi="宋体"/>
          <w:color w:val="auto"/>
          <w:highlight w:val="none"/>
        </w:rPr>
        <w:t>。</w:t>
      </w:r>
    </w:p>
    <w:p>
      <w:pPr>
        <w:pStyle w:val="25"/>
        <w:spacing w:line="360" w:lineRule="auto"/>
        <w:rPr>
          <w:rFonts w:hint="eastAsia" w:hAnsi="宋体" w:eastAsia="宋体"/>
          <w:color w:val="auto"/>
          <w:highlight w:val="none"/>
          <w:lang w:eastAsia="zh-CN"/>
        </w:rPr>
      </w:pPr>
      <w:r>
        <w:rPr>
          <w:rFonts w:hint="eastAsia" w:hAnsi="宋体"/>
          <w:color w:val="auto"/>
          <w:highlight w:val="none"/>
        </w:rPr>
        <w:t>本文件起草单位：沈阳华睿博信息技术有限公司、沈阳新松机器人自动化股份有限公司、东北大学、中国航发沈阳黎明航空发动机有限责任公司、辽宁省信息安全与软件测评认证中心、辽宁大学、辽宁交通信息技术有限公司、辽宁省大数据管理中心（辽宁省信息中心）、辽宁省检验检测认证中心、沈阳鼓风机集团股份有限公司。</w:t>
      </w:r>
    </w:p>
    <w:p>
      <w:pPr>
        <w:pStyle w:val="25"/>
        <w:spacing w:line="360" w:lineRule="auto"/>
        <w:rPr>
          <w:rFonts w:hint="eastAsia" w:eastAsia="宋体"/>
          <w:color w:val="auto"/>
          <w:highlight w:val="none"/>
          <w:lang w:val="en-US" w:eastAsia="zh-CN"/>
        </w:rPr>
      </w:pPr>
      <w:r>
        <w:rPr>
          <w:rFonts w:hint="eastAsia" w:hAnsi="宋体"/>
          <w:color w:val="auto"/>
          <w:highlight w:val="none"/>
        </w:rPr>
        <w:t>本文件主要起草人：邵华、徐方、谭振华、成立权、管冰、周翰逊、郎志海、王洪川、杨成实、赵云志、郝玉明</w:t>
      </w:r>
      <w:r>
        <w:rPr>
          <w:rFonts w:hint="eastAsia" w:hAnsi="宋体"/>
          <w:color w:val="auto"/>
          <w:highlight w:val="none"/>
          <w:lang w:eastAsia="zh-CN"/>
        </w:rPr>
        <w:t>。</w:t>
      </w:r>
    </w:p>
    <w:p>
      <w:pPr>
        <w:pStyle w:val="25"/>
        <w:spacing w:line="360" w:lineRule="auto"/>
        <w:rPr>
          <w:rFonts w:hint="eastAsia"/>
          <w:color w:val="auto"/>
          <w:highlight w:val="none"/>
        </w:rPr>
      </w:pPr>
      <w:r>
        <w:rPr>
          <w:rFonts w:hint="eastAsia"/>
          <w:color w:val="auto"/>
          <w:highlight w:val="none"/>
        </w:rPr>
        <w:t>本文件发布实施后，任何单位和个人如有问题和意见建议，均可以通过来电和来函等方式进行反馈，我们将及时答复并认真处理，根据实际情况依法进行评估及复审。</w:t>
      </w:r>
    </w:p>
    <w:p>
      <w:pPr>
        <w:pStyle w:val="25"/>
        <w:spacing w:line="360" w:lineRule="auto"/>
        <w:rPr>
          <w:rFonts w:hint="eastAsia"/>
          <w:color w:val="auto"/>
          <w:highlight w:val="none"/>
          <w:lang w:val="en-US" w:eastAsia="zh-CN"/>
        </w:rPr>
      </w:pPr>
      <w:r>
        <w:rPr>
          <w:rFonts w:hint="eastAsia"/>
          <w:color w:val="auto"/>
          <w:highlight w:val="none"/>
          <w:lang w:val="en-US" w:eastAsia="zh-CN"/>
        </w:rPr>
        <w:t>归口管理部门通信地址：</w:t>
      </w:r>
      <w:r>
        <w:rPr>
          <w:rFonts w:hint="eastAsia" w:ascii="宋体" w:hAnsi="宋体"/>
          <w:color w:val="auto"/>
          <w:szCs w:val="22"/>
          <w:highlight w:val="none"/>
          <w:lang w:val="en-US" w:eastAsia="zh-CN"/>
        </w:rPr>
        <w:t>辽宁省沈阳市皇姑区北陵大街45-2号</w:t>
      </w:r>
      <w:r>
        <w:rPr>
          <w:rFonts w:hint="eastAsia" w:hAnsi="宋体"/>
          <w:color w:val="auto"/>
          <w:szCs w:val="22"/>
          <w:highlight w:val="none"/>
          <w:lang w:val="en-US" w:eastAsia="zh-CN"/>
        </w:rPr>
        <w:t>。</w:t>
      </w:r>
    </w:p>
    <w:p>
      <w:pPr>
        <w:pStyle w:val="25"/>
        <w:spacing w:line="360" w:lineRule="auto"/>
        <w:rPr>
          <w:rFonts w:hint="eastAsia" w:ascii="宋体" w:hAnsi="宋体"/>
          <w:color w:val="auto"/>
          <w:szCs w:val="22"/>
          <w:highlight w:val="none"/>
          <w:lang w:val="en-US" w:eastAsia="zh-CN"/>
        </w:rPr>
      </w:pPr>
      <w:r>
        <w:rPr>
          <w:rFonts w:hint="eastAsia"/>
          <w:color w:val="auto"/>
          <w:highlight w:val="none"/>
          <w:lang w:val="en-US" w:eastAsia="zh-CN"/>
        </w:rPr>
        <w:t>归口管理部门联系电话：</w:t>
      </w:r>
      <w:r>
        <w:rPr>
          <w:rFonts w:hint="eastAsia" w:ascii="宋体" w:hAnsi="宋体"/>
          <w:color w:val="auto"/>
          <w:szCs w:val="22"/>
          <w:highlight w:val="none"/>
          <w:lang w:val="en-US" w:eastAsia="zh-CN"/>
        </w:rPr>
        <w:t>024-86893258</w:t>
      </w:r>
      <w:r>
        <w:rPr>
          <w:rFonts w:hint="eastAsia" w:hAnsi="宋体"/>
          <w:color w:val="auto"/>
          <w:szCs w:val="22"/>
          <w:highlight w:val="none"/>
          <w:lang w:val="en-US" w:eastAsia="zh-CN"/>
        </w:rPr>
        <w:t>。</w:t>
      </w:r>
    </w:p>
    <w:p>
      <w:pPr>
        <w:pStyle w:val="25"/>
        <w:spacing w:line="360" w:lineRule="auto"/>
        <w:rPr>
          <w:rFonts w:hint="eastAsia" w:hAnsi="宋体"/>
          <w:color w:val="auto"/>
          <w:szCs w:val="22"/>
          <w:highlight w:val="none"/>
          <w:lang w:val="en-US" w:eastAsia="zh-CN"/>
        </w:rPr>
      </w:pPr>
      <w:r>
        <w:rPr>
          <w:rFonts w:hint="eastAsia" w:hAnsi="宋体"/>
          <w:color w:val="auto"/>
          <w:szCs w:val="22"/>
          <w:highlight w:val="none"/>
          <w:lang w:val="en-US" w:eastAsia="zh-CN"/>
        </w:rPr>
        <w:t>标准起草单位通信地址：</w:t>
      </w:r>
      <w:r>
        <w:rPr>
          <w:rFonts w:hint="eastAsia" w:ascii="宋体" w:hAnsi="宋体"/>
          <w:color w:val="auto"/>
          <w:highlight w:val="none"/>
          <w:lang w:val="en-US" w:eastAsia="zh-CN"/>
        </w:rPr>
        <w:t>辽宁省沈阳市和平区青年大街386号华阳国际大厦2396</w:t>
      </w:r>
      <w:r>
        <w:rPr>
          <w:rFonts w:hint="eastAsia" w:hAnsi="宋体"/>
          <w:color w:val="auto"/>
          <w:highlight w:val="none"/>
          <w:lang w:val="en-US" w:eastAsia="zh-CN"/>
        </w:rPr>
        <w:t>。</w:t>
      </w:r>
    </w:p>
    <w:p>
      <w:pPr>
        <w:pStyle w:val="25"/>
        <w:spacing w:line="360" w:lineRule="auto"/>
        <w:rPr>
          <w:rFonts w:hint="eastAsia" w:hAnsi="宋体"/>
          <w:color w:val="auto"/>
          <w:highlight w:val="none"/>
          <w:lang w:val="en-US" w:eastAsia="zh-CN"/>
        </w:rPr>
        <w:sectPr>
          <w:footerReference r:id="rId8" w:type="default"/>
          <w:footerReference r:id="rId9" w:type="even"/>
          <w:pgSz w:w="11906" w:h="16838"/>
          <w:pgMar w:top="1417" w:right="1134" w:bottom="1134" w:left="1417" w:header="1418" w:footer="1134" w:gutter="0"/>
          <w:pgBorders>
            <w:top w:val="none" w:sz="0" w:space="0"/>
            <w:left w:val="none" w:sz="0" w:space="0"/>
            <w:bottom w:val="none" w:sz="0" w:space="0"/>
            <w:right w:val="none" w:sz="0" w:space="0"/>
          </w:pgBorders>
          <w:pgNumType w:fmt="upperRoman"/>
          <w:cols w:space="0" w:num="1"/>
          <w:formProt w:val="0"/>
          <w:docGrid w:type="lines" w:linePitch="312" w:charSpace="0"/>
        </w:sectPr>
      </w:pPr>
      <w:r>
        <w:rPr>
          <w:rFonts w:hint="eastAsia" w:hAnsi="宋体"/>
          <w:color w:val="auto"/>
          <w:szCs w:val="22"/>
          <w:highlight w:val="none"/>
          <w:lang w:val="en-US" w:eastAsia="zh-CN"/>
        </w:rPr>
        <w:t>标准起草单位联系电话：</w:t>
      </w:r>
      <w:r>
        <w:rPr>
          <w:rFonts w:hint="eastAsia" w:hAnsi="宋体"/>
          <w:color w:val="auto"/>
          <w:highlight w:val="none"/>
          <w:lang w:val="en-US" w:eastAsia="zh-CN"/>
        </w:rPr>
        <w:t>18698840986。</w:t>
      </w:r>
    </w:p>
    <w:p>
      <w:pPr>
        <w:pStyle w:val="25"/>
        <w:spacing w:line="360" w:lineRule="auto"/>
        <w:rPr>
          <w:rFonts w:hint="eastAsia" w:hAnsi="宋体"/>
          <w:color w:val="auto"/>
          <w:highlight w:val="none"/>
          <w:lang w:val="en-US" w:eastAsia="zh-CN"/>
        </w:rPr>
      </w:pPr>
    </w:p>
    <w:p>
      <w:pPr>
        <w:pStyle w:val="46"/>
        <w:shd w:val="clear" w:color="FFFFFF"/>
        <w:spacing w:line="360" w:lineRule="auto"/>
        <w:ind w:left="0" w:leftChars="0" w:firstLine="0" w:firstLineChars="0"/>
        <w:rPr>
          <w:rFonts w:hint="default" w:eastAsia="宋体"/>
          <w:color w:val="auto"/>
          <w:szCs w:val="22"/>
          <w:highlight w:val="none"/>
          <w:lang w:val="en-US" w:eastAsia="zh-CN"/>
        </w:rPr>
      </w:pPr>
      <w:bookmarkStart w:id="26" w:name="_Toc11776"/>
      <w:r>
        <w:rPr>
          <w:rFonts w:hint="eastAsia" w:cs="黑体"/>
          <w:color w:val="auto"/>
          <w:highlight w:val="none"/>
          <w:lang w:val="en-US" w:eastAsia="zh-CN"/>
        </w:rPr>
        <w:t>引</w:t>
      </w:r>
      <w:r>
        <w:rPr>
          <w:rFonts w:hint="eastAsia" w:hAnsi="黑体" w:cs="黑体"/>
          <w:color w:val="auto"/>
          <w:highlight w:val="none"/>
        </w:rPr>
        <w:t>  言</w:t>
      </w:r>
      <w:bookmarkEnd w:id="26"/>
    </w:p>
    <w:p>
      <w:pPr>
        <w:pStyle w:val="25"/>
        <w:spacing w:line="360" w:lineRule="auto"/>
        <w:ind w:left="0" w:leftChars="0" w:firstLine="420" w:firstLineChars="200"/>
        <w:rPr>
          <w:rFonts w:hint="default" w:eastAsia="宋体"/>
          <w:color w:val="auto"/>
          <w:szCs w:val="22"/>
          <w:highlight w:val="none"/>
          <w:lang w:val="en-US" w:eastAsia="zh-CN"/>
        </w:rPr>
      </w:pPr>
      <w:r>
        <w:rPr>
          <w:rFonts w:hint="default" w:eastAsia="宋体"/>
          <w:color w:val="auto"/>
          <w:szCs w:val="22"/>
          <w:highlight w:val="none"/>
          <w:lang w:val="en-US" w:eastAsia="zh-CN"/>
        </w:rPr>
        <w:t>当前，大数据技术在我省工业领域用户需求精准分析、生产过程改进优化、营销管理智能决策等方面的应用方兴未艾。工业数据作为新的生产要素资源，支撑供给侧结构性改革、驱动</w:t>
      </w:r>
      <w:r>
        <w:rPr>
          <w:rFonts w:hint="eastAsia"/>
          <w:color w:val="auto"/>
          <w:szCs w:val="22"/>
          <w:highlight w:val="none"/>
          <w:lang w:val="en-US" w:eastAsia="zh-CN"/>
        </w:rPr>
        <w:t>工业领域数字化转型</w:t>
      </w:r>
      <w:r>
        <w:rPr>
          <w:rFonts w:hint="default" w:eastAsia="宋体"/>
          <w:color w:val="auto"/>
          <w:szCs w:val="22"/>
          <w:highlight w:val="none"/>
          <w:lang w:val="en-US" w:eastAsia="zh-CN"/>
        </w:rPr>
        <w:t>升级的作用日益显现，正成为推动质量变革、效率变革、动力变革的新引擎。但与此同时，工业数据也存在管理执行不到位、开发利用不深入、流通共享不充分等问题，尚未完全发挥对数字经济的放大、叠加和倍增作用。工业数据分类分级是提升企业数据管理水平的基础，是有效挖掘数据价值、实现企业生产方式变革的必由路径。</w:t>
      </w:r>
    </w:p>
    <w:p>
      <w:pPr>
        <w:pStyle w:val="25"/>
        <w:spacing w:line="360" w:lineRule="auto"/>
        <w:ind w:left="0" w:leftChars="0" w:firstLine="420" w:firstLineChars="200"/>
        <w:rPr>
          <w:rFonts w:hint="default" w:eastAsia="宋体"/>
          <w:color w:val="auto"/>
          <w:szCs w:val="22"/>
          <w:highlight w:val="none"/>
          <w:lang w:val="en-US" w:eastAsia="zh-CN"/>
        </w:rPr>
        <w:sectPr>
          <w:pgSz w:w="11906" w:h="16838"/>
          <w:pgMar w:top="1417" w:right="1134" w:bottom="1134" w:left="1417" w:header="1418" w:footer="1134" w:gutter="0"/>
          <w:pgBorders>
            <w:top w:val="none" w:sz="0" w:space="0"/>
            <w:left w:val="none" w:sz="0" w:space="0"/>
            <w:bottom w:val="none" w:sz="0" w:space="0"/>
            <w:right w:val="none" w:sz="0" w:space="0"/>
          </w:pgBorders>
          <w:pgNumType w:fmt="upperRoman"/>
          <w:cols w:space="0" w:num="1"/>
          <w:formProt w:val="0"/>
          <w:docGrid w:type="lines" w:linePitch="312" w:charSpace="0"/>
        </w:sectPr>
      </w:pPr>
      <w:r>
        <w:rPr>
          <w:rFonts w:hint="default"/>
          <w:color w:val="auto"/>
          <w:szCs w:val="22"/>
          <w:highlight w:val="none"/>
          <w:lang w:val="en-US" w:eastAsia="zh-CN"/>
        </w:rPr>
        <w:t>本文件</w:t>
      </w:r>
      <w:r>
        <w:rPr>
          <w:rFonts w:hint="eastAsia"/>
          <w:color w:val="auto"/>
          <w:szCs w:val="22"/>
          <w:highlight w:val="none"/>
          <w:lang w:val="en-US" w:eastAsia="zh-CN"/>
        </w:rPr>
        <w:t>依据《工业数据分类分级指南（试行）》对工业数据的分类分级方法做出了规定，对不同级别的工业数据给出了不同的安全要</w:t>
      </w:r>
      <w:r>
        <w:rPr>
          <w:rFonts w:hint="default"/>
          <w:color w:val="auto"/>
          <w:szCs w:val="22"/>
          <w:highlight w:val="none"/>
          <w:lang w:val="en-US" w:eastAsia="zh-CN"/>
        </w:rPr>
        <w:t>求，</w:t>
      </w:r>
      <w:r>
        <w:rPr>
          <w:rFonts w:hint="default" w:ascii="宋体" w:hAnsi="Times New Roman" w:cs="Times New Roman"/>
          <w:color w:val="auto"/>
          <w:sz w:val="21"/>
          <w:szCs w:val="22"/>
          <w:highlight w:val="none"/>
          <w:lang w:val="en-US" w:eastAsia="zh-CN"/>
        </w:rPr>
        <w:t>将大大帮助推动和指导我省工业数据处理者开展数据分类分级管理工作，提升工业数据安全保障体系设计水平</w:t>
      </w:r>
      <w:r>
        <w:rPr>
          <w:rFonts w:hint="eastAsia" w:ascii="宋体" w:eastAsia="宋体" w:cs="Times New Roman"/>
          <w:color w:val="auto"/>
          <w:sz w:val="21"/>
          <w:szCs w:val="22"/>
          <w:highlight w:val="none"/>
          <w:lang w:val="en-US" w:eastAsia="zh-CN"/>
        </w:rPr>
        <w:t>。</w:t>
      </w:r>
    </w:p>
    <w:bookmarkEnd w:id="0"/>
    <w:p>
      <w:pPr>
        <w:spacing w:line="360" w:lineRule="auto"/>
        <w:jc w:val="center"/>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工业数据分类分级管理指南</w:t>
      </w:r>
    </w:p>
    <w:p>
      <w:pPr>
        <w:pStyle w:val="24"/>
        <w:spacing w:before="312" w:after="312" w:line="360" w:lineRule="auto"/>
        <w:outlineLvl w:val="0"/>
        <w:rPr>
          <w:color w:val="auto"/>
          <w:highlight w:val="none"/>
        </w:rPr>
      </w:pPr>
      <w:bookmarkStart w:id="27" w:name="_Toc28163"/>
      <w:bookmarkStart w:id="28" w:name="_Toc13533"/>
      <w:bookmarkStart w:id="29" w:name="_Toc20955"/>
      <w:bookmarkStart w:id="30" w:name="_Toc288"/>
      <w:bookmarkStart w:id="31" w:name="_Toc14720"/>
      <w:bookmarkStart w:id="32" w:name="_Toc27175"/>
      <w:bookmarkStart w:id="33" w:name="_Toc15373"/>
      <w:bookmarkStart w:id="34" w:name="_Toc15340"/>
      <w:bookmarkStart w:id="35" w:name="_Toc12742"/>
      <w:bookmarkStart w:id="36" w:name="_Toc21437"/>
      <w:bookmarkStart w:id="37" w:name="_Toc16062"/>
      <w:bookmarkStart w:id="38" w:name="_Toc19214"/>
      <w:bookmarkStart w:id="39" w:name="_Toc8423"/>
      <w:bookmarkStart w:id="40" w:name="_Toc25943"/>
      <w:bookmarkStart w:id="41" w:name="_Toc29970"/>
      <w:bookmarkStart w:id="42" w:name="_Toc9785"/>
      <w:bookmarkStart w:id="43" w:name="_Toc30193"/>
      <w:bookmarkStart w:id="44" w:name="_Toc17408"/>
      <w:bookmarkStart w:id="45" w:name="_Toc13382"/>
      <w:bookmarkStart w:id="46" w:name="_Toc6218"/>
      <w:bookmarkStart w:id="47" w:name="_Toc27243"/>
      <w:bookmarkStart w:id="48" w:name="_Toc6504"/>
      <w:bookmarkStart w:id="49" w:name="_Toc8300"/>
      <w:bookmarkStart w:id="50" w:name="_Toc17254"/>
      <w:r>
        <w:rPr>
          <w:rFonts w:hint="eastAsia"/>
          <w:color w:val="auto"/>
          <w:highlight w:val="none"/>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Style w:val="25"/>
        <w:spacing w:line="360" w:lineRule="auto"/>
        <w:rPr>
          <w:rFonts w:hint="default" w:eastAsia="宋体"/>
          <w:color w:val="auto"/>
          <w:highlight w:val="none"/>
          <w:lang w:val="en-US" w:eastAsia="zh-CN"/>
        </w:rPr>
      </w:pPr>
      <w:r>
        <w:rPr>
          <w:rFonts w:hint="eastAsia"/>
          <w:color w:val="auto"/>
          <w:highlight w:val="none"/>
        </w:rPr>
        <w:t>本文件规定了</w:t>
      </w:r>
      <w:r>
        <w:rPr>
          <w:rFonts w:hint="eastAsia"/>
          <w:color w:val="auto"/>
          <w:highlight w:val="none"/>
          <w:lang w:val="en-US" w:eastAsia="zh-CN"/>
        </w:rPr>
        <w:t>工业数据分类分级一般要求、分类维度、分级方法、数据级别变更、实施流程、分级管理体系以及分级技术体系。</w:t>
      </w:r>
    </w:p>
    <w:p>
      <w:pPr>
        <w:pStyle w:val="25"/>
        <w:spacing w:line="360" w:lineRule="auto"/>
        <w:rPr>
          <w:color w:val="auto"/>
          <w:szCs w:val="21"/>
          <w:highlight w:val="none"/>
        </w:rPr>
      </w:pPr>
      <w:bookmarkStart w:id="51" w:name="_Toc28726"/>
      <w:bookmarkStart w:id="52" w:name="_Toc17744"/>
      <w:bookmarkStart w:id="53" w:name="_Toc13501"/>
      <w:bookmarkStart w:id="54" w:name="_Toc969"/>
      <w:r>
        <w:rPr>
          <w:rFonts w:hint="eastAsia" w:ascii="Times New Roman"/>
          <w:color w:val="auto"/>
          <w:szCs w:val="21"/>
          <w:highlight w:val="none"/>
        </w:rPr>
        <w:t>本文件适用于指导</w:t>
      </w:r>
      <w:r>
        <w:rPr>
          <w:rFonts w:hint="eastAsia" w:ascii="Times New Roman"/>
          <w:color w:val="auto"/>
          <w:szCs w:val="21"/>
          <w:highlight w:val="none"/>
          <w:lang w:val="en-US" w:eastAsia="zh-CN"/>
        </w:rPr>
        <w:t>工业</w:t>
      </w:r>
      <w:r>
        <w:rPr>
          <w:rFonts w:hint="eastAsia" w:ascii="Times New Roman"/>
          <w:color w:val="auto"/>
          <w:szCs w:val="21"/>
          <w:highlight w:val="none"/>
        </w:rPr>
        <w:t>数据处理者开展数据分类分级</w:t>
      </w:r>
      <w:r>
        <w:rPr>
          <w:rFonts w:hint="eastAsia" w:ascii="Times New Roman"/>
          <w:color w:val="auto"/>
          <w:szCs w:val="21"/>
          <w:highlight w:val="none"/>
          <w:lang w:val="en-US" w:eastAsia="zh-CN"/>
        </w:rPr>
        <w:t>管理</w:t>
      </w:r>
      <w:r>
        <w:rPr>
          <w:rFonts w:hint="eastAsia" w:ascii="Times New Roman"/>
          <w:color w:val="auto"/>
          <w:szCs w:val="21"/>
          <w:highlight w:val="none"/>
        </w:rPr>
        <w:t>工作。</w:t>
      </w:r>
    </w:p>
    <w:p>
      <w:pPr>
        <w:pStyle w:val="24"/>
        <w:spacing w:before="312" w:after="312" w:line="360" w:lineRule="auto"/>
        <w:outlineLvl w:val="0"/>
        <w:rPr>
          <w:color w:val="auto"/>
          <w:highlight w:val="none"/>
        </w:rPr>
      </w:pPr>
      <w:bookmarkStart w:id="55" w:name="_Toc31104"/>
      <w:bookmarkStart w:id="56" w:name="_Toc22511"/>
      <w:bookmarkStart w:id="57" w:name="_Toc16452"/>
      <w:bookmarkStart w:id="58" w:name="_Toc4633"/>
      <w:bookmarkStart w:id="59" w:name="_Toc32472"/>
      <w:bookmarkStart w:id="60" w:name="_Toc2296"/>
      <w:bookmarkStart w:id="61" w:name="_Toc18738"/>
      <w:bookmarkStart w:id="62" w:name="_Toc14425"/>
      <w:bookmarkStart w:id="63" w:name="_Toc4021"/>
      <w:bookmarkStart w:id="64" w:name="_Toc2579"/>
      <w:bookmarkStart w:id="65" w:name="_Toc27605"/>
      <w:bookmarkStart w:id="66" w:name="_Toc19433"/>
      <w:bookmarkStart w:id="67" w:name="_Toc6320"/>
      <w:bookmarkStart w:id="68" w:name="_Toc27024"/>
      <w:bookmarkStart w:id="69" w:name="_Toc14467"/>
      <w:bookmarkStart w:id="70" w:name="_Toc25630"/>
      <w:bookmarkStart w:id="71" w:name="_Toc27739"/>
      <w:bookmarkStart w:id="72" w:name="_Toc21641"/>
      <w:bookmarkStart w:id="73" w:name="_Toc24507"/>
      <w:bookmarkStart w:id="74" w:name="_Toc24672"/>
      <w:r>
        <w:rPr>
          <w:rFonts w:hint="eastAsia"/>
          <w:color w:val="auto"/>
          <w:highlight w:val="none"/>
        </w:rPr>
        <w:t>规范性引用文件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25"/>
        <w:spacing w:line="360" w:lineRule="auto"/>
        <w:rPr>
          <w:rFonts w:hint="eastAsia" w:hAnsi="宋体"/>
          <w:highlight w:val="none"/>
        </w:rPr>
      </w:pPr>
      <w:r>
        <w:rPr>
          <w:rFonts w:hint="eastAsia" w:hAnsi="宋体"/>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spacing w:line="360" w:lineRule="auto"/>
        <w:rPr>
          <w:rFonts w:hint="eastAsia" w:hAnsi="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GB</w:t>
      </w:r>
      <w:r>
        <w:rPr>
          <w:rFonts w:hint="eastAsia" w:hAnsi="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T</w:t>
      </w:r>
      <w:r>
        <w:rPr>
          <w:rFonts w:hint="eastAsia" w:hAnsi="宋体" w:cs="宋体"/>
          <w:color w:val="auto"/>
          <w:kern w:val="2"/>
          <w:sz w:val="21"/>
          <w:szCs w:val="24"/>
          <w:highlight w:val="none"/>
          <w:lang w:val="en-US" w:eastAsia="zh-CN" w:bidi="ar-SA"/>
        </w:rPr>
        <w:t xml:space="preserve"> </w:t>
      </w:r>
      <w:r>
        <w:rPr>
          <w:rFonts w:hint="eastAsia" w:ascii="宋体" w:hAnsi="宋体" w:eastAsia="宋体" w:cs="宋体"/>
          <w:color w:val="auto"/>
          <w:kern w:val="2"/>
          <w:sz w:val="21"/>
          <w:szCs w:val="24"/>
          <w:highlight w:val="none"/>
          <w:lang w:val="en-US" w:eastAsia="zh-CN" w:bidi="ar-SA"/>
        </w:rPr>
        <w:t>5271</w:t>
      </w:r>
      <w:r>
        <w:rPr>
          <w:rFonts w:hint="eastAsia"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1</w:t>
      </w:r>
      <w:r>
        <w:rPr>
          <w:rFonts w:hint="eastAsia"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2000</w:t>
      </w:r>
      <w:r>
        <w:rPr>
          <w:rFonts w:hint="eastAsia" w:hAnsi="宋体" w:cs="宋体"/>
          <w:color w:val="auto"/>
          <w:kern w:val="2"/>
          <w:sz w:val="21"/>
          <w:szCs w:val="24"/>
          <w:highlight w:val="none"/>
          <w:lang w:val="en-US" w:eastAsia="zh-CN" w:bidi="ar-SA"/>
        </w:rPr>
        <w:t xml:space="preserve">  信息技术  词汇  第</w:t>
      </w:r>
      <w:r>
        <w:rPr>
          <w:rFonts w:hint="eastAsia" w:ascii="宋体" w:hAnsi="宋体" w:eastAsia="宋体" w:cs="宋体"/>
          <w:color w:val="auto"/>
          <w:kern w:val="2"/>
          <w:sz w:val="21"/>
          <w:szCs w:val="24"/>
          <w:highlight w:val="none"/>
          <w:lang w:val="en-US" w:eastAsia="zh-CN" w:bidi="ar-SA"/>
        </w:rPr>
        <w:t>1</w:t>
      </w:r>
      <w:r>
        <w:rPr>
          <w:rFonts w:hint="eastAsia" w:hAnsi="宋体" w:cs="宋体"/>
          <w:color w:val="auto"/>
          <w:kern w:val="2"/>
          <w:sz w:val="21"/>
          <w:szCs w:val="24"/>
          <w:highlight w:val="none"/>
          <w:lang w:val="en-US" w:eastAsia="zh-CN" w:bidi="ar-SA"/>
        </w:rPr>
        <w:t>部分</w:t>
      </w:r>
      <w:r>
        <w:rPr>
          <w:rFonts w:hint="eastAsia" w:ascii="宋体" w:hAnsi="宋体" w:cs="宋体"/>
          <w:color w:val="auto"/>
          <w:kern w:val="2"/>
          <w:sz w:val="21"/>
          <w:szCs w:val="24"/>
          <w:highlight w:val="none"/>
          <w:lang w:val="en-US" w:eastAsia="zh-CN" w:bidi="ar-SA"/>
        </w:rPr>
        <w:t>：</w:t>
      </w:r>
      <w:r>
        <w:rPr>
          <w:rFonts w:hint="eastAsia" w:hAnsi="宋体" w:cs="宋体"/>
          <w:color w:val="auto"/>
          <w:kern w:val="2"/>
          <w:sz w:val="21"/>
          <w:szCs w:val="24"/>
          <w:highlight w:val="none"/>
          <w:lang w:val="en-US" w:eastAsia="zh-CN" w:bidi="ar-SA"/>
        </w:rPr>
        <w:t>基本术语</w:t>
      </w:r>
    </w:p>
    <w:p>
      <w:pPr>
        <w:pStyle w:val="25"/>
        <w:spacing w:line="360" w:lineRule="auto"/>
        <w:rPr>
          <w:rFonts w:hint="default" w:hAnsi="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GB</w:t>
      </w:r>
      <w:r>
        <w:rPr>
          <w:rFonts w:hint="eastAsia" w:hAnsi="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T</w:t>
      </w:r>
      <w:r>
        <w:rPr>
          <w:rFonts w:hint="eastAsia" w:hAnsi="宋体" w:cs="宋体"/>
          <w:color w:val="auto"/>
          <w:kern w:val="2"/>
          <w:sz w:val="21"/>
          <w:szCs w:val="24"/>
          <w:highlight w:val="none"/>
          <w:lang w:val="en-US" w:eastAsia="zh-CN" w:bidi="ar-SA"/>
        </w:rPr>
        <w:t xml:space="preserve"> </w:t>
      </w:r>
      <w:r>
        <w:rPr>
          <w:rFonts w:hint="eastAsia" w:ascii="宋体" w:hAnsi="宋体" w:eastAsia="宋体" w:cs="宋体"/>
          <w:color w:val="auto"/>
          <w:kern w:val="2"/>
          <w:sz w:val="21"/>
          <w:szCs w:val="24"/>
          <w:highlight w:val="none"/>
          <w:lang w:val="en-US" w:eastAsia="zh-CN" w:bidi="ar-SA"/>
        </w:rPr>
        <w:t>41778</w:t>
      </w:r>
      <w:r>
        <w:rPr>
          <w:rFonts w:hint="eastAsia"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2022</w:t>
      </w:r>
      <w:r>
        <w:rPr>
          <w:rFonts w:hint="eastAsia" w:hAnsi="宋体" w:cs="宋体"/>
          <w:color w:val="auto"/>
          <w:kern w:val="2"/>
          <w:sz w:val="21"/>
          <w:szCs w:val="24"/>
          <w:highlight w:val="none"/>
          <w:lang w:val="en-US" w:eastAsia="zh-CN" w:bidi="ar-SA"/>
        </w:rPr>
        <w:t xml:space="preserve">  信息技术 工业大数据 术语</w:t>
      </w:r>
    </w:p>
    <w:p>
      <w:pPr>
        <w:pStyle w:val="24"/>
        <w:spacing w:before="312" w:after="312" w:line="360" w:lineRule="auto"/>
        <w:outlineLvl w:val="0"/>
        <w:rPr>
          <w:color w:val="auto"/>
          <w:highlight w:val="none"/>
        </w:rPr>
      </w:pPr>
      <w:bookmarkStart w:id="75" w:name="_Toc26503"/>
      <w:bookmarkStart w:id="76" w:name="_Toc1396"/>
      <w:bookmarkStart w:id="77" w:name="_Toc21370"/>
      <w:bookmarkStart w:id="78" w:name="_Toc8573"/>
      <w:bookmarkStart w:id="79" w:name="_Toc420509188"/>
      <w:bookmarkStart w:id="80" w:name="_Toc4486"/>
      <w:bookmarkStart w:id="81" w:name="_Toc27649"/>
      <w:bookmarkStart w:id="82" w:name="_Toc19892"/>
      <w:bookmarkStart w:id="83" w:name="_Toc20583"/>
      <w:bookmarkStart w:id="84" w:name="_Toc12695"/>
      <w:bookmarkStart w:id="85" w:name="_Toc8705"/>
      <w:bookmarkStart w:id="86" w:name="_Toc5294"/>
      <w:bookmarkStart w:id="87" w:name="_Toc13606"/>
      <w:bookmarkStart w:id="88" w:name="_Toc24065"/>
      <w:bookmarkStart w:id="89" w:name="_Toc32483"/>
      <w:bookmarkStart w:id="90" w:name="_Toc22750"/>
      <w:bookmarkStart w:id="91" w:name="_Toc420509244"/>
      <w:bookmarkStart w:id="92" w:name="_Toc9739"/>
      <w:bookmarkStart w:id="93" w:name="_Toc5061"/>
      <w:bookmarkStart w:id="94" w:name="_Toc30966"/>
      <w:bookmarkStart w:id="95" w:name="_Toc12010"/>
      <w:bookmarkStart w:id="96" w:name="_Toc25092"/>
      <w:bookmarkStart w:id="97" w:name="_Toc24405"/>
      <w:bookmarkStart w:id="98" w:name="_Toc9691"/>
      <w:bookmarkStart w:id="99" w:name="_Toc30537"/>
      <w:bookmarkStart w:id="100" w:name="_Toc27651"/>
      <w:r>
        <w:rPr>
          <w:rFonts w:hint="eastAsia"/>
          <w:color w:val="auto"/>
          <w:highlight w:val="none"/>
        </w:rPr>
        <w:t>术语和定义</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pStyle w:val="25"/>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以下术语和定义适用于本文件。</w:t>
      </w:r>
    </w:p>
    <w:p>
      <w:pPr>
        <w:pStyle w:val="70"/>
        <w:bidi w:val="0"/>
        <w:rPr>
          <w:rFonts w:hint="eastAsia"/>
          <w:highlight w:val="none"/>
        </w:rPr>
      </w:pPr>
      <w:bookmarkStart w:id="101" w:name="_Toc1973"/>
      <w:bookmarkEnd w:id="101"/>
      <w:bookmarkStart w:id="102" w:name="_Toc30294"/>
      <w:bookmarkEnd w:id="102"/>
      <w:bookmarkStart w:id="103" w:name="_Toc25986"/>
      <w:bookmarkEnd w:id="103"/>
      <w:bookmarkStart w:id="104" w:name="_Toc20484"/>
      <w:bookmarkEnd w:id="104"/>
      <w:bookmarkStart w:id="105" w:name="_Toc8924"/>
      <w:bookmarkEnd w:id="105"/>
      <w:bookmarkStart w:id="106" w:name="_Toc4860"/>
      <w:bookmarkEnd w:id="106"/>
      <w:bookmarkStart w:id="107" w:name="_Toc17658"/>
      <w:bookmarkEnd w:id="107"/>
      <w:bookmarkStart w:id="108" w:name="_Toc7671"/>
      <w:bookmarkEnd w:id="108"/>
    </w:p>
    <w:p>
      <w:pPr>
        <w:pStyle w:val="25"/>
        <w:spacing w:line="360" w:lineRule="auto"/>
        <w:rPr>
          <w:rFonts w:hint="eastAsia" w:ascii="黑体" w:hAnsi="黑体" w:eastAsia="黑体" w:cs="黑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数据  data</w:t>
      </w:r>
    </w:p>
    <w:p>
      <w:pPr>
        <w:pStyle w:val="25"/>
        <w:spacing w:line="360" w:lineRule="auto"/>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信息的可再解释的形式化表示，以适用于通信、解释或处理。</w:t>
      </w:r>
    </w:p>
    <w:p>
      <w:pPr>
        <w:pStyle w:val="25"/>
        <w:spacing w:line="360" w:lineRule="auto"/>
        <w:rPr>
          <w:rFonts w:hint="default" w:ascii="宋体" w:hAnsi="宋体" w:eastAsia="宋体" w:cs="宋体"/>
          <w:color w:val="auto"/>
          <w:kern w:val="2"/>
          <w:sz w:val="21"/>
          <w:szCs w:val="24"/>
          <w:highlight w:val="none"/>
          <w:lang w:val="en-US" w:eastAsia="zh-CN" w:bidi="ar-SA"/>
        </w:rPr>
      </w:pPr>
      <w:r>
        <w:rPr>
          <w:rFonts w:hint="eastAsia" w:hAnsi="宋体" w:cs="宋体"/>
          <w:color w:val="auto"/>
          <w:kern w:val="2"/>
          <w:sz w:val="21"/>
          <w:szCs w:val="24"/>
          <w:highlight w:val="none"/>
          <w:lang w:val="en-US" w:eastAsia="zh-CN" w:bidi="ar-SA"/>
        </w:rPr>
        <w:t>[来源</w:t>
      </w:r>
      <w:r>
        <w:rPr>
          <w:rFonts w:hint="eastAsia" w:ascii="宋体" w:hAnsi="宋体" w:cs="宋体"/>
          <w:color w:val="auto"/>
          <w:kern w:val="2"/>
          <w:sz w:val="21"/>
          <w:szCs w:val="24"/>
          <w:highlight w:val="none"/>
          <w:lang w:val="en-US" w:eastAsia="zh-CN" w:bidi="ar-SA"/>
        </w:rPr>
        <w:t>：GB</w:t>
      </w:r>
      <w:r>
        <w:rPr>
          <w:rFonts w:hint="eastAsia" w:hAnsi="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T</w:t>
      </w:r>
      <w:r>
        <w:rPr>
          <w:rFonts w:hint="eastAsia" w:hAnsi="宋体" w:cs="宋体"/>
          <w:color w:val="auto"/>
          <w:kern w:val="2"/>
          <w:sz w:val="21"/>
          <w:szCs w:val="24"/>
          <w:highlight w:val="none"/>
          <w:lang w:val="en-US" w:eastAsia="zh-CN" w:bidi="ar-SA"/>
        </w:rPr>
        <w:t xml:space="preserve"> </w:t>
      </w:r>
      <w:r>
        <w:rPr>
          <w:rFonts w:hint="eastAsia" w:ascii="宋体" w:hAnsi="宋体" w:eastAsia="宋体" w:cs="宋体"/>
          <w:color w:val="auto"/>
          <w:kern w:val="2"/>
          <w:sz w:val="21"/>
          <w:szCs w:val="24"/>
          <w:highlight w:val="none"/>
          <w:lang w:val="en-US" w:eastAsia="zh-CN" w:bidi="ar-SA"/>
        </w:rPr>
        <w:t>5271</w:t>
      </w:r>
      <w:r>
        <w:rPr>
          <w:rFonts w:hint="eastAsia"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1</w:t>
      </w:r>
      <w:r>
        <w:rPr>
          <w:rFonts w:hint="eastAsia"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2000</w:t>
      </w:r>
      <w:r>
        <w:rPr>
          <w:rFonts w:hint="eastAsia"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01</w:t>
      </w:r>
      <w:r>
        <w:rPr>
          <w:rFonts w:hint="eastAsia"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01</w:t>
      </w:r>
      <w:r>
        <w:rPr>
          <w:rFonts w:hint="eastAsia"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02</w:t>
      </w:r>
      <w:r>
        <w:rPr>
          <w:rFonts w:hint="eastAsia" w:hAnsi="宋体" w:cs="宋体"/>
          <w:color w:val="auto"/>
          <w:kern w:val="2"/>
          <w:sz w:val="21"/>
          <w:szCs w:val="24"/>
          <w:highlight w:val="none"/>
          <w:lang w:val="en-US" w:eastAsia="zh-CN" w:bidi="ar-SA"/>
        </w:rPr>
        <w:t>]</w:t>
      </w:r>
    </w:p>
    <w:p>
      <w:pPr>
        <w:pStyle w:val="70"/>
        <w:bidi w:val="0"/>
        <w:rPr>
          <w:rFonts w:hint="eastAsia"/>
          <w:color w:val="auto"/>
          <w:highlight w:val="none"/>
        </w:rPr>
      </w:pPr>
      <w:bookmarkStart w:id="109" w:name="_Toc15734"/>
      <w:bookmarkEnd w:id="109"/>
      <w:bookmarkStart w:id="110" w:name="_Toc10009"/>
      <w:bookmarkEnd w:id="110"/>
      <w:bookmarkStart w:id="111" w:name="_Toc30290"/>
      <w:bookmarkEnd w:id="111"/>
      <w:bookmarkStart w:id="112" w:name="_Toc5051"/>
      <w:bookmarkEnd w:id="112"/>
      <w:bookmarkStart w:id="113" w:name="_Toc524"/>
      <w:bookmarkEnd w:id="113"/>
      <w:bookmarkStart w:id="114" w:name="_Toc7925"/>
      <w:bookmarkEnd w:id="114"/>
      <w:bookmarkStart w:id="115" w:name="_Toc22575"/>
      <w:bookmarkEnd w:id="115"/>
      <w:bookmarkStart w:id="116" w:name="_Toc10525"/>
      <w:bookmarkEnd w:id="116"/>
    </w:p>
    <w:p>
      <w:pPr>
        <w:pStyle w:val="25"/>
        <w:spacing w:line="360" w:lineRule="auto"/>
        <w:rPr>
          <w:rFonts w:hint="eastAsia" w:ascii="黑体" w:hAnsi="黑体" w:eastAsia="黑体" w:cs="黑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工业数据  industrial data</w:t>
      </w:r>
    </w:p>
    <w:p>
      <w:pPr>
        <w:pStyle w:val="25"/>
        <w:spacing w:line="360" w:lineRule="auto"/>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工业领域产生和收集的数据，包括研发设计、生产制造、经营管理、运行维护、平台运营等过程中收集和产生的任何以电子或者其他方式记录的数据。</w:t>
      </w:r>
    </w:p>
    <w:p>
      <w:pPr>
        <w:pStyle w:val="70"/>
        <w:bidi w:val="0"/>
        <w:rPr>
          <w:rFonts w:hint="default" w:ascii="宋体" w:hAnsi="宋体" w:eastAsia="宋体" w:cs="宋体"/>
          <w:color w:val="auto"/>
          <w:kern w:val="2"/>
          <w:sz w:val="21"/>
          <w:szCs w:val="24"/>
          <w:highlight w:val="none"/>
          <w:lang w:val="en-US" w:eastAsia="zh-CN" w:bidi="ar-SA"/>
        </w:rPr>
      </w:pPr>
      <w:bookmarkStart w:id="117" w:name="_Toc22288"/>
      <w:bookmarkEnd w:id="117"/>
      <w:bookmarkStart w:id="118" w:name="_Toc20008"/>
      <w:bookmarkEnd w:id="118"/>
      <w:bookmarkStart w:id="119" w:name="_Toc30198"/>
      <w:bookmarkEnd w:id="119"/>
    </w:p>
    <w:p>
      <w:pPr>
        <w:pStyle w:val="25"/>
        <w:spacing w:line="360" w:lineRule="auto"/>
        <w:rPr>
          <w:rFonts w:hint="default" w:ascii="黑体" w:hAnsi="黑体" w:eastAsia="黑体" w:cs="黑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衍生数据  derived data</w:t>
      </w:r>
    </w:p>
    <w:p>
      <w:pPr>
        <w:pStyle w:val="25"/>
        <w:spacing w:line="360" w:lineRule="auto"/>
        <w:rPr>
          <w:rFonts w:hint="default" w:hAnsi="宋体" w:cs="宋体"/>
          <w:color w:val="auto"/>
          <w:kern w:val="2"/>
          <w:sz w:val="21"/>
          <w:szCs w:val="24"/>
          <w:highlight w:val="none"/>
          <w:lang w:val="en-US" w:eastAsia="zh-CN" w:bidi="ar-SA"/>
        </w:rPr>
      </w:pPr>
      <w:r>
        <w:rPr>
          <w:rFonts w:hint="default" w:hAnsi="宋体" w:cs="宋体"/>
          <w:color w:val="auto"/>
          <w:kern w:val="2"/>
          <w:sz w:val="21"/>
          <w:szCs w:val="24"/>
          <w:highlight w:val="none"/>
          <w:lang w:val="en-US" w:eastAsia="zh-CN" w:bidi="ar-SA"/>
        </w:rPr>
        <w:t>原始数据经过统计、关联、挖掘或聚合等加工活动而产生的数据。</w:t>
      </w:r>
    </w:p>
    <w:p>
      <w:pPr>
        <w:pStyle w:val="70"/>
        <w:bidi w:val="0"/>
        <w:rPr>
          <w:rFonts w:hint="default" w:ascii="宋体" w:hAnsi="宋体" w:eastAsia="宋体" w:cs="宋体"/>
          <w:color w:val="auto"/>
          <w:kern w:val="2"/>
          <w:sz w:val="21"/>
          <w:szCs w:val="24"/>
          <w:highlight w:val="none"/>
          <w:lang w:val="en-US" w:eastAsia="zh-CN" w:bidi="ar-SA"/>
        </w:rPr>
      </w:pPr>
      <w:bookmarkStart w:id="120" w:name="_Toc30316"/>
      <w:bookmarkEnd w:id="120"/>
      <w:bookmarkStart w:id="121" w:name="_Toc19867"/>
      <w:bookmarkEnd w:id="121"/>
      <w:bookmarkStart w:id="122" w:name="_Toc18107"/>
      <w:bookmarkEnd w:id="122"/>
      <w:bookmarkStart w:id="123" w:name="_Toc7224"/>
      <w:bookmarkEnd w:id="123"/>
      <w:bookmarkStart w:id="124" w:name="_Toc16107"/>
      <w:bookmarkEnd w:id="124"/>
      <w:bookmarkStart w:id="125" w:name="_Toc30990"/>
      <w:bookmarkEnd w:id="125"/>
      <w:bookmarkStart w:id="126" w:name="_Toc29153"/>
      <w:bookmarkEnd w:id="126"/>
      <w:bookmarkStart w:id="127" w:name="_Toc18674"/>
      <w:bookmarkEnd w:id="127"/>
    </w:p>
    <w:p>
      <w:pPr>
        <w:pStyle w:val="25"/>
        <w:spacing w:line="360" w:lineRule="auto"/>
        <w:rPr>
          <w:rFonts w:hint="default" w:ascii="黑体" w:hAnsi="黑体" w:eastAsia="黑体" w:cs="黑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 xml:space="preserve">工业数据采集  </w:t>
      </w:r>
      <w:r>
        <w:rPr>
          <w:rFonts w:hint="default" w:ascii="黑体" w:hAnsi="黑体" w:eastAsia="黑体" w:cs="黑体"/>
          <w:color w:val="auto"/>
          <w:kern w:val="2"/>
          <w:sz w:val="21"/>
          <w:szCs w:val="24"/>
          <w:highlight w:val="none"/>
          <w:lang w:val="en-US" w:eastAsia="zh-CN" w:bidi="ar-SA"/>
        </w:rPr>
        <w:t>industrial data collection</w:t>
      </w:r>
    </w:p>
    <w:p>
      <w:pPr>
        <w:pStyle w:val="25"/>
        <w:spacing w:line="360" w:lineRule="auto"/>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利用采集装置,对工业设备、信息化系统、自动化系统和环境等工业系统产生的数据进行收集的过程。</w:t>
      </w:r>
    </w:p>
    <w:p>
      <w:pPr>
        <w:pStyle w:val="25"/>
        <w:spacing w:line="360" w:lineRule="auto"/>
        <w:rPr>
          <w:rFonts w:hint="default" w:ascii="宋体" w:hAnsi="宋体" w:eastAsia="宋体" w:cs="宋体"/>
          <w:color w:val="auto"/>
          <w:kern w:val="2"/>
          <w:sz w:val="21"/>
          <w:szCs w:val="24"/>
          <w:highlight w:val="none"/>
          <w:lang w:val="en-US" w:eastAsia="zh-CN" w:bidi="ar-SA"/>
        </w:rPr>
      </w:pPr>
      <w:r>
        <w:rPr>
          <w:rFonts w:hint="eastAsia" w:hAnsi="宋体" w:cs="宋体"/>
          <w:color w:val="auto"/>
          <w:kern w:val="2"/>
          <w:sz w:val="21"/>
          <w:szCs w:val="24"/>
          <w:highlight w:val="none"/>
          <w:lang w:val="en-US" w:eastAsia="zh-CN" w:bidi="ar-SA"/>
        </w:rPr>
        <w:t>[来源</w:t>
      </w:r>
      <w:r>
        <w:rPr>
          <w:rFonts w:hint="eastAsia" w:ascii="宋体" w:hAnsi="宋体" w:cs="宋体"/>
          <w:color w:val="auto"/>
          <w:kern w:val="2"/>
          <w:sz w:val="21"/>
          <w:szCs w:val="24"/>
          <w:highlight w:val="none"/>
          <w:lang w:val="en-US" w:eastAsia="zh-CN" w:bidi="ar-SA"/>
        </w:rPr>
        <w:t>：GB</w:t>
      </w:r>
      <w:r>
        <w:rPr>
          <w:rFonts w:hint="eastAsia" w:hAnsi="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T</w:t>
      </w:r>
      <w:r>
        <w:rPr>
          <w:rFonts w:hint="eastAsia" w:hAnsi="宋体" w:cs="宋体"/>
          <w:color w:val="auto"/>
          <w:kern w:val="2"/>
          <w:sz w:val="21"/>
          <w:szCs w:val="24"/>
          <w:highlight w:val="none"/>
          <w:lang w:val="en-US" w:eastAsia="zh-CN" w:bidi="ar-SA"/>
        </w:rPr>
        <w:t xml:space="preserve"> </w:t>
      </w:r>
      <w:r>
        <w:rPr>
          <w:rFonts w:hint="eastAsia" w:ascii="宋体" w:hAnsi="宋体" w:eastAsia="宋体" w:cs="宋体"/>
          <w:color w:val="auto"/>
          <w:kern w:val="2"/>
          <w:sz w:val="21"/>
          <w:szCs w:val="24"/>
          <w:highlight w:val="none"/>
          <w:lang w:val="en-US" w:eastAsia="zh-CN" w:bidi="ar-SA"/>
        </w:rPr>
        <w:t>41778</w:t>
      </w:r>
      <w:r>
        <w:rPr>
          <w:rFonts w:hint="eastAsia"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2022</w:t>
      </w:r>
      <w:r>
        <w:rPr>
          <w:rFonts w:hint="eastAsia"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3</w:t>
      </w:r>
      <w:r>
        <w:rPr>
          <w:rFonts w:hint="eastAsia"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23</w:t>
      </w:r>
      <w:r>
        <w:rPr>
          <w:rFonts w:hint="eastAsia" w:hAnsi="宋体" w:cs="宋体"/>
          <w:color w:val="auto"/>
          <w:kern w:val="2"/>
          <w:sz w:val="21"/>
          <w:szCs w:val="24"/>
          <w:highlight w:val="none"/>
          <w:lang w:val="en-US" w:eastAsia="zh-CN" w:bidi="ar-SA"/>
        </w:rPr>
        <w:t>]</w:t>
      </w:r>
    </w:p>
    <w:p>
      <w:pPr>
        <w:pStyle w:val="70"/>
        <w:bidi w:val="0"/>
        <w:rPr>
          <w:rFonts w:hint="default" w:ascii="宋体" w:hAnsi="宋体" w:eastAsia="宋体" w:cs="宋体"/>
          <w:color w:val="auto"/>
          <w:kern w:val="2"/>
          <w:sz w:val="21"/>
          <w:szCs w:val="24"/>
          <w:highlight w:val="none"/>
          <w:lang w:val="en-US" w:eastAsia="zh-CN" w:bidi="ar-SA"/>
        </w:rPr>
      </w:pPr>
      <w:bookmarkStart w:id="128" w:name="_Toc26216"/>
      <w:bookmarkEnd w:id="128"/>
      <w:bookmarkStart w:id="129" w:name="_Toc22504"/>
      <w:bookmarkEnd w:id="129"/>
      <w:bookmarkStart w:id="130" w:name="_Toc25533"/>
      <w:bookmarkEnd w:id="130"/>
      <w:bookmarkStart w:id="131" w:name="_Toc28401"/>
      <w:bookmarkEnd w:id="131"/>
      <w:bookmarkStart w:id="132" w:name="_Toc3056"/>
      <w:bookmarkEnd w:id="132"/>
      <w:bookmarkStart w:id="133" w:name="_Toc12835"/>
      <w:bookmarkEnd w:id="133"/>
      <w:bookmarkStart w:id="134" w:name="_Toc5777"/>
      <w:bookmarkEnd w:id="134"/>
      <w:bookmarkStart w:id="135" w:name="_Toc3909"/>
      <w:bookmarkEnd w:id="135"/>
    </w:p>
    <w:p>
      <w:pPr>
        <w:pStyle w:val="25"/>
        <w:spacing w:line="360" w:lineRule="auto"/>
        <w:rPr>
          <w:rFonts w:hint="default" w:ascii="黑体" w:hAnsi="黑体" w:eastAsia="黑体" w:cs="黑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工业数据存储</w:t>
      </w:r>
      <w:r>
        <w:rPr>
          <w:rFonts w:hint="default" w:ascii="黑体" w:hAnsi="黑体" w:eastAsia="黑体" w:cs="黑体"/>
          <w:color w:val="auto"/>
          <w:kern w:val="2"/>
          <w:sz w:val="21"/>
          <w:szCs w:val="24"/>
          <w:highlight w:val="none"/>
          <w:lang w:val="en-US" w:eastAsia="zh-CN" w:bidi="ar-SA"/>
        </w:rPr>
        <w:t xml:space="preserve"> </w:t>
      </w:r>
      <w:r>
        <w:rPr>
          <w:rFonts w:hint="eastAsia" w:ascii="黑体" w:hAnsi="黑体" w:eastAsia="黑体" w:cs="黑体"/>
          <w:color w:val="auto"/>
          <w:kern w:val="2"/>
          <w:sz w:val="21"/>
          <w:szCs w:val="24"/>
          <w:highlight w:val="none"/>
          <w:lang w:val="en-US" w:eastAsia="zh-CN" w:bidi="ar-SA"/>
        </w:rPr>
        <w:t xml:space="preserve"> </w:t>
      </w:r>
      <w:r>
        <w:rPr>
          <w:rFonts w:hint="default" w:ascii="黑体" w:hAnsi="黑体" w:eastAsia="黑体" w:cs="黑体"/>
          <w:color w:val="auto"/>
          <w:kern w:val="2"/>
          <w:sz w:val="21"/>
          <w:szCs w:val="24"/>
          <w:highlight w:val="none"/>
          <w:lang w:val="en-US" w:eastAsia="zh-CN" w:bidi="ar-SA"/>
        </w:rPr>
        <w:t>industrial data</w:t>
      </w:r>
      <w:r>
        <w:rPr>
          <w:rFonts w:hint="eastAsia" w:ascii="黑体" w:hAnsi="黑体" w:eastAsia="黑体" w:cs="黑体"/>
          <w:color w:val="auto"/>
          <w:kern w:val="2"/>
          <w:sz w:val="21"/>
          <w:szCs w:val="24"/>
          <w:highlight w:val="none"/>
          <w:lang w:val="en-US" w:eastAsia="zh-CN" w:bidi="ar-SA"/>
        </w:rPr>
        <w:t xml:space="preserve"> </w:t>
      </w:r>
      <w:r>
        <w:rPr>
          <w:rFonts w:hint="default" w:ascii="黑体" w:hAnsi="黑体" w:eastAsia="黑体" w:cs="黑体"/>
          <w:color w:val="auto"/>
          <w:kern w:val="2"/>
          <w:sz w:val="21"/>
          <w:szCs w:val="24"/>
          <w:highlight w:val="none"/>
          <w:lang w:val="en-US" w:eastAsia="zh-CN" w:bidi="ar-SA"/>
        </w:rPr>
        <w:t>storage</w:t>
      </w:r>
    </w:p>
    <w:p>
      <w:pPr>
        <w:pStyle w:val="25"/>
        <w:spacing w:line="360" w:lineRule="auto"/>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工业数据以某种格式记录在计算机内部或外部存储介质上的行为。</w:t>
      </w:r>
    </w:p>
    <w:p>
      <w:pPr>
        <w:pStyle w:val="70"/>
        <w:bidi w:val="0"/>
        <w:rPr>
          <w:rFonts w:hint="default" w:ascii="宋体" w:hAnsi="宋体" w:eastAsia="宋体" w:cs="宋体"/>
          <w:color w:val="auto"/>
          <w:kern w:val="2"/>
          <w:sz w:val="21"/>
          <w:szCs w:val="24"/>
          <w:highlight w:val="none"/>
          <w:lang w:val="en-US" w:eastAsia="zh-CN" w:bidi="ar-SA"/>
        </w:rPr>
      </w:pPr>
      <w:bookmarkStart w:id="136" w:name="_Toc3941"/>
      <w:bookmarkEnd w:id="136"/>
      <w:bookmarkStart w:id="137" w:name="_Toc23542"/>
      <w:bookmarkEnd w:id="137"/>
      <w:bookmarkStart w:id="138" w:name="_Toc5451"/>
      <w:bookmarkEnd w:id="138"/>
      <w:bookmarkStart w:id="139" w:name="_Toc16828"/>
      <w:bookmarkEnd w:id="139"/>
      <w:bookmarkStart w:id="140" w:name="_Toc15891"/>
      <w:bookmarkEnd w:id="140"/>
      <w:bookmarkStart w:id="141" w:name="_Toc1780"/>
      <w:bookmarkEnd w:id="141"/>
      <w:bookmarkStart w:id="142" w:name="_Toc28454"/>
      <w:bookmarkEnd w:id="142"/>
      <w:bookmarkStart w:id="143" w:name="_Toc25973"/>
      <w:bookmarkEnd w:id="143"/>
    </w:p>
    <w:p>
      <w:pPr>
        <w:pStyle w:val="25"/>
        <w:spacing w:line="360" w:lineRule="auto"/>
        <w:rPr>
          <w:rFonts w:hint="default" w:ascii="黑体" w:hAnsi="黑体" w:eastAsia="黑体" w:cs="黑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 xml:space="preserve">工业数据使用  </w:t>
      </w:r>
      <w:r>
        <w:rPr>
          <w:rFonts w:hint="default" w:ascii="黑体" w:hAnsi="黑体" w:eastAsia="黑体" w:cs="黑体"/>
          <w:color w:val="auto"/>
          <w:kern w:val="2"/>
          <w:sz w:val="21"/>
          <w:szCs w:val="24"/>
          <w:highlight w:val="none"/>
          <w:lang w:val="en-US" w:eastAsia="zh-CN" w:bidi="ar-SA"/>
        </w:rPr>
        <w:t>industrial data</w:t>
      </w:r>
      <w:r>
        <w:rPr>
          <w:rFonts w:hint="eastAsia" w:ascii="黑体" w:hAnsi="黑体" w:eastAsia="黑体" w:cs="黑体"/>
          <w:color w:val="auto"/>
          <w:kern w:val="2"/>
          <w:sz w:val="21"/>
          <w:szCs w:val="24"/>
          <w:highlight w:val="none"/>
          <w:lang w:val="en-US" w:eastAsia="zh-CN" w:bidi="ar-SA"/>
        </w:rPr>
        <w:t xml:space="preserve"> use</w:t>
      </w:r>
    </w:p>
    <w:p>
      <w:pPr>
        <w:pStyle w:val="25"/>
        <w:spacing w:line="360" w:lineRule="auto"/>
        <w:rPr>
          <w:rFonts w:hint="default" w:ascii="宋体" w:hAnsi="宋体" w:eastAsia="宋体" w:cs="宋体"/>
          <w:color w:val="auto"/>
          <w:kern w:val="2"/>
          <w:sz w:val="21"/>
          <w:szCs w:val="24"/>
          <w:highlight w:val="none"/>
          <w:lang w:val="en-US" w:eastAsia="zh-CN" w:bidi="ar-SA"/>
        </w:rPr>
      </w:pPr>
      <w:r>
        <w:rPr>
          <w:rFonts w:hint="eastAsia" w:hAnsi="宋体" w:cs="宋体"/>
          <w:color w:val="auto"/>
          <w:kern w:val="2"/>
          <w:sz w:val="21"/>
          <w:szCs w:val="24"/>
          <w:highlight w:val="none"/>
          <w:lang w:val="en-US" w:eastAsia="zh-CN" w:bidi="ar-SA"/>
        </w:rPr>
        <w:t>使用工业数据来完成某项现实任务</w:t>
      </w:r>
      <w:r>
        <w:rPr>
          <w:rFonts w:hint="default" w:ascii="宋体" w:hAnsi="宋体" w:eastAsia="宋体" w:cs="宋体"/>
          <w:color w:val="auto"/>
          <w:kern w:val="2"/>
          <w:sz w:val="21"/>
          <w:szCs w:val="24"/>
          <w:highlight w:val="none"/>
          <w:lang w:val="en-US" w:eastAsia="zh-CN" w:bidi="ar-SA"/>
        </w:rPr>
        <w:t>。</w:t>
      </w:r>
    </w:p>
    <w:p>
      <w:pPr>
        <w:pStyle w:val="70"/>
        <w:bidi w:val="0"/>
        <w:rPr>
          <w:rFonts w:hint="default" w:ascii="宋体" w:hAnsi="宋体" w:eastAsia="宋体" w:cs="宋体"/>
          <w:color w:val="auto"/>
          <w:kern w:val="2"/>
          <w:sz w:val="21"/>
          <w:szCs w:val="24"/>
          <w:highlight w:val="none"/>
          <w:lang w:val="en-US" w:eastAsia="zh-CN" w:bidi="ar-SA"/>
        </w:rPr>
      </w:pPr>
      <w:bookmarkStart w:id="144" w:name="_Toc12106"/>
      <w:bookmarkEnd w:id="144"/>
      <w:bookmarkStart w:id="145" w:name="_Toc22760"/>
      <w:bookmarkEnd w:id="145"/>
      <w:bookmarkStart w:id="146" w:name="_Toc30169"/>
      <w:bookmarkEnd w:id="146"/>
      <w:bookmarkStart w:id="147" w:name="_Toc24729"/>
      <w:bookmarkEnd w:id="147"/>
      <w:bookmarkStart w:id="148" w:name="_Toc28593"/>
      <w:bookmarkEnd w:id="148"/>
      <w:bookmarkStart w:id="149" w:name="_Toc24393"/>
      <w:bookmarkEnd w:id="149"/>
      <w:bookmarkStart w:id="150" w:name="_Toc12492"/>
      <w:bookmarkEnd w:id="150"/>
      <w:bookmarkStart w:id="151" w:name="_Toc2993"/>
      <w:bookmarkEnd w:id="151"/>
    </w:p>
    <w:p>
      <w:pPr>
        <w:pStyle w:val="25"/>
        <w:spacing w:line="360" w:lineRule="auto"/>
        <w:rPr>
          <w:rFonts w:hint="default" w:ascii="黑体" w:hAnsi="黑体" w:eastAsia="黑体" w:cs="黑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 xml:space="preserve">工业数据加工  </w:t>
      </w:r>
      <w:r>
        <w:rPr>
          <w:rFonts w:hint="default" w:ascii="黑体" w:hAnsi="黑体" w:eastAsia="黑体" w:cs="黑体"/>
          <w:color w:val="auto"/>
          <w:kern w:val="2"/>
          <w:sz w:val="21"/>
          <w:szCs w:val="24"/>
          <w:highlight w:val="none"/>
          <w:lang w:val="en-US" w:eastAsia="zh-CN" w:bidi="ar-SA"/>
        </w:rPr>
        <w:t>industrial data</w:t>
      </w:r>
      <w:r>
        <w:rPr>
          <w:rFonts w:hint="eastAsia" w:ascii="黑体" w:hAnsi="黑体" w:eastAsia="黑体" w:cs="黑体"/>
          <w:color w:val="auto"/>
          <w:kern w:val="2"/>
          <w:sz w:val="21"/>
          <w:szCs w:val="24"/>
          <w:highlight w:val="none"/>
          <w:lang w:val="en-US" w:eastAsia="zh-CN" w:bidi="ar-SA"/>
        </w:rPr>
        <w:t xml:space="preserve"> </w:t>
      </w:r>
      <w:r>
        <w:rPr>
          <w:rFonts w:hint="default" w:ascii="黑体" w:hAnsi="黑体" w:eastAsia="黑体" w:cs="黑体"/>
          <w:color w:val="auto"/>
          <w:kern w:val="2"/>
          <w:sz w:val="21"/>
          <w:szCs w:val="24"/>
          <w:highlight w:val="none"/>
          <w:lang w:val="en-US" w:eastAsia="zh-CN" w:bidi="ar-SA"/>
        </w:rPr>
        <w:t>processing</w:t>
      </w:r>
    </w:p>
    <w:p>
      <w:pPr>
        <w:pStyle w:val="25"/>
        <w:spacing w:line="360" w:lineRule="auto"/>
        <w:rPr>
          <w:rFonts w:hint="default"/>
          <w:color w:val="auto"/>
          <w:highlight w:val="none"/>
          <w:lang w:val="en-US" w:eastAsia="zh-CN"/>
        </w:rPr>
      </w:pPr>
      <w:r>
        <w:rPr>
          <w:rFonts w:hint="default" w:ascii="宋体" w:hAnsi="宋体" w:eastAsia="宋体" w:cs="宋体"/>
          <w:color w:val="auto"/>
          <w:kern w:val="2"/>
          <w:sz w:val="21"/>
          <w:szCs w:val="24"/>
          <w:highlight w:val="none"/>
          <w:lang w:val="en-US" w:eastAsia="zh-CN" w:bidi="ar-SA"/>
        </w:rPr>
        <w:t>通过对工业数据进行数据挖掘、分析、加工等活动，获取目的结果的行为。</w:t>
      </w:r>
    </w:p>
    <w:p>
      <w:pPr>
        <w:pStyle w:val="70"/>
        <w:bidi w:val="0"/>
        <w:rPr>
          <w:rFonts w:hint="default"/>
          <w:color w:val="auto"/>
          <w:highlight w:val="none"/>
          <w:lang w:val="en-US" w:eastAsia="zh-CN"/>
        </w:rPr>
      </w:pPr>
      <w:bookmarkStart w:id="152" w:name="_Toc7864"/>
      <w:bookmarkEnd w:id="152"/>
      <w:bookmarkStart w:id="153" w:name="_Toc15120"/>
      <w:bookmarkEnd w:id="153"/>
      <w:bookmarkStart w:id="154" w:name="_Toc1221"/>
      <w:bookmarkEnd w:id="154"/>
      <w:bookmarkStart w:id="155" w:name="_Toc18749"/>
      <w:bookmarkEnd w:id="155"/>
      <w:bookmarkStart w:id="156" w:name="_Toc29288"/>
      <w:bookmarkEnd w:id="156"/>
      <w:bookmarkStart w:id="157" w:name="_Toc21324"/>
      <w:bookmarkEnd w:id="157"/>
      <w:bookmarkStart w:id="158" w:name="_Toc22050"/>
      <w:bookmarkEnd w:id="158"/>
      <w:bookmarkStart w:id="159" w:name="_Toc10996"/>
      <w:bookmarkEnd w:id="159"/>
    </w:p>
    <w:p>
      <w:pPr>
        <w:pStyle w:val="25"/>
        <w:spacing w:line="360" w:lineRule="auto"/>
        <w:rPr>
          <w:rFonts w:hint="default" w:ascii="黑体" w:hAnsi="黑体" w:eastAsia="黑体" w:cs="黑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 xml:space="preserve">工业数据传输  </w:t>
      </w:r>
      <w:r>
        <w:rPr>
          <w:rFonts w:hint="default" w:ascii="黑体" w:hAnsi="黑体" w:eastAsia="黑体" w:cs="黑体"/>
          <w:color w:val="auto"/>
          <w:kern w:val="2"/>
          <w:sz w:val="21"/>
          <w:szCs w:val="24"/>
          <w:highlight w:val="none"/>
          <w:lang w:val="en-US" w:eastAsia="zh-CN" w:bidi="ar-SA"/>
        </w:rPr>
        <w:t>industrial data</w:t>
      </w:r>
      <w:r>
        <w:rPr>
          <w:rFonts w:hint="eastAsia" w:ascii="黑体" w:hAnsi="黑体" w:eastAsia="黑体" w:cs="黑体"/>
          <w:color w:val="auto"/>
          <w:kern w:val="2"/>
          <w:sz w:val="21"/>
          <w:szCs w:val="24"/>
          <w:highlight w:val="none"/>
          <w:lang w:val="en-US" w:eastAsia="zh-CN" w:bidi="ar-SA"/>
        </w:rPr>
        <w:t xml:space="preserve"> </w:t>
      </w:r>
      <w:r>
        <w:rPr>
          <w:rFonts w:hint="default" w:ascii="黑体" w:hAnsi="黑体" w:eastAsia="黑体" w:cs="黑体"/>
          <w:color w:val="auto"/>
          <w:kern w:val="2"/>
          <w:sz w:val="21"/>
          <w:szCs w:val="24"/>
          <w:highlight w:val="none"/>
          <w:lang w:val="en-US" w:eastAsia="zh-CN" w:bidi="ar-SA"/>
        </w:rPr>
        <w:t>transmission</w:t>
      </w:r>
    </w:p>
    <w:p>
      <w:pPr>
        <w:pStyle w:val="25"/>
        <w:spacing w:line="360" w:lineRule="auto"/>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工业数据从一个系统、设备、平台、企业传送到另一个系统、设备、平台、企业的通信过程。</w:t>
      </w:r>
    </w:p>
    <w:p>
      <w:pPr>
        <w:pStyle w:val="70"/>
        <w:bidi w:val="0"/>
        <w:rPr>
          <w:rFonts w:hint="default" w:ascii="宋体" w:hAnsi="宋体" w:eastAsia="宋体" w:cs="宋体"/>
          <w:color w:val="auto"/>
          <w:kern w:val="2"/>
          <w:sz w:val="21"/>
          <w:szCs w:val="24"/>
          <w:highlight w:val="none"/>
          <w:lang w:val="en-US" w:eastAsia="zh-CN" w:bidi="ar-SA"/>
        </w:rPr>
      </w:pPr>
      <w:bookmarkStart w:id="160" w:name="_Toc22965"/>
      <w:bookmarkEnd w:id="160"/>
      <w:bookmarkStart w:id="161" w:name="_Toc23267"/>
      <w:bookmarkEnd w:id="161"/>
      <w:bookmarkStart w:id="162" w:name="_Toc7207"/>
      <w:bookmarkEnd w:id="162"/>
      <w:bookmarkStart w:id="163" w:name="_Toc28051"/>
      <w:bookmarkEnd w:id="163"/>
      <w:bookmarkStart w:id="164" w:name="_Toc17494"/>
      <w:bookmarkEnd w:id="164"/>
      <w:bookmarkStart w:id="165" w:name="_Toc13027"/>
      <w:bookmarkEnd w:id="165"/>
      <w:bookmarkStart w:id="166" w:name="_Toc29270"/>
      <w:bookmarkEnd w:id="166"/>
      <w:bookmarkStart w:id="167" w:name="_Toc19553"/>
      <w:bookmarkEnd w:id="167"/>
    </w:p>
    <w:p>
      <w:pPr>
        <w:pStyle w:val="25"/>
        <w:spacing w:line="360" w:lineRule="auto"/>
        <w:rPr>
          <w:rFonts w:hint="default" w:ascii="黑体" w:hAnsi="黑体" w:eastAsia="黑体" w:cs="黑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 xml:space="preserve">工业数据共享  </w:t>
      </w:r>
      <w:r>
        <w:rPr>
          <w:rFonts w:hint="default" w:ascii="黑体" w:hAnsi="黑体" w:eastAsia="黑体" w:cs="黑体"/>
          <w:color w:val="auto"/>
          <w:kern w:val="2"/>
          <w:sz w:val="21"/>
          <w:szCs w:val="24"/>
          <w:highlight w:val="none"/>
          <w:lang w:val="en-US" w:eastAsia="zh-CN" w:bidi="ar-SA"/>
        </w:rPr>
        <w:t>industrial data</w:t>
      </w:r>
      <w:r>
        <w:rPr>
          <w:rFonts w:hint="eastAsia" w:ascii="黑体" w:hAnsi="黑体" w:eastAsia="黑体" w:cs="黑体"/>
          <w:color w:val="auto"/>
          <w:kern w:val="2"/>
          <w:sz w:val="21"/>
          <w:szCs w:val="24"/>
          <w:highlight w:val="none"/>
          <w:lang w:val="en-US" w:eastAsia="zh-CN" w:bidi="ar-SA"/>
        </w:rPr>
        <w:t xml:space="preserve"> </w:t>
      </w:r>
      <w:r>
        <w:rPr>
          <w:rFonts w:hint="default" w:ascii="黑体" w:hAnsi="黑体" w:eastAsia="黑体" w:cs="黑体"/>
          <w:color w:val="auto"/>
          <w:kern w:val="2"/>
          <w:sz w:val="21"/>
          <w:szCs w:val="24"/>
          <w:highlight w:val="none"/>
          <w:lang w:val="en-US" w:eastAsia="zh-CN" w:bidi="ar-SA"/>
        </w:rPr>
        <w:t>openness</w:t>
      </w:r>
    </w:p>
    <w:p>
      <w:pPr>
        <w:pStyle w:val="25"/>
        <w:spacing w:line="360" w:lineRule="auto"/>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工业数据处理者向其他数据处理者提供数据,或将工业数据处理权由一个处理者向另个处理者转移，且双方分别对数据拥有独立处理权的过程。</w:t>
      </w:r>
    </w:p>
    <w:p>
      <w:pPr>
        <w:pStyle w:val="70"/>
        <w:bidi w:val="0"/>
        <w:rPr>
          <w:rFonts w:hint="default" w:ascii="宋体" w:hAnsi="宋体" w:eastAsia="宋体" w:cs="宋体"/>
          <w:color w:val="auto"/>
          <w:kern w:val="2"/>
          <w:sz w:val="21"/>
          <w:szCs w:val="24"/>
          <w:highlight w:val="none"/>
          <w:lang w:val="en-US" w:eastAsia="zh-CN" w:bidi="ar-SA"/>
        </w:rPr>
      </w:pPr>
      <w:bookmarkStart w:id="168" w:name="_Toc28346"/>
      <w:bookmarkEnd w:id="168"/>
      <w:bookmarkStart w:id="169" w:name="_Toc22290"/>
      <w:bookmarkEnd w:id="169"/>
      <w:bookmarkStart w:id="170" w:name="_Toc20761"/>
      <w:bookmarkEnd w:id="170"/>
      <w:bookmarkStart w:id="171" w:name="_Toc14964"/>
      <w:bookmarkEnd w:id="171"/>
      <w:bookmarkStart w:id="172" w:name="_Toc5790"/>
      <w:bookmarkEnd w:id="172"/>
      <w:bookmarkStart w:id="173" w:name="_Toc9643"/>
      <w:bookmarkEnd w:id="173"/>
      <w:bookmarkStart w:id="174" w:name="_Toc14831"/>
      <w:bookmarkEnd w:id="174"/>
      <w:bookmarkStart w:id="175" w:name="_Toc8991"/>
      <w:bookmarkEnd w:id="175"/>
    </w:p>
    <w:p>
      <w:pPr>
        <w:pStyle w:val="25"/>
        <w:spacing w:line="360" w:lineRule="auto"/>
        <w:rPr>
          <w:rFonts w:hint="eastAsia" w:ascii="黑体" w:hAnsi="黑体" w:eastAsia="黑体" w:cs="黑体"/>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工业数据开放  industrial data openness</w:t>
      </w:r>
    </w:p>
    <w:p>
      <w:pPr>
        <w:pStyle w:val="25"/>
        <w:spacing w:line="360" w:lineRule="auto"/>
        <w:rPr>
          <w:rFonts w:hint="eastAsia" w:hAnsi="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指将</w:t>
      </w:r>
      <w:r>
        <w:rPr>
          <w:rFonts w:hint="eastAsia" w:hAnsi="宋体" w:cs="宋体"/>
          <w:color w:val="auto"/>
          <w:kern w:val="2"/>
          <w:sz w:val="21"/>
          <w:szCs w:val="24"/>
          <w:highlight w:val="none"/>
          <w:lang w:val="en-US" w:eastAsia="zh-CN" w:bidi="ar-SA"/>
        </w:rPr>
        <w:t>工业</w:t>
      </w:r>
      <w:r>
        <w:rPr>
          <w:rFonts w:hint="default" w:ascii="宋体" w:hAnsi="宋体" w:eastAsia="宋体" w:cs="宋体"/>
          <w:color w:val="auto"/>
          <w:kern w:val="2"/>
          <w:sz w:val="21"/>
          <w:szCs w:val="24"/>
          <w:highlight w:val="none"/>
          <w:lang w:val="en-US" w:eastAsia="zh-CN" w:bidi="ar-SA"/>
        </w:rPr>
        <w:t>数据免费开放给每一个希望使用数据的人，没有版权、专利和控制机制等的限制</w:t>
      </w:r>
      <w:r>
        <w:rPr>
          <w:rFonts w:hint="eastAsia" w:hAnsi="宋体" w:cs="宋体"/>
          <w:color w:val="auto"/>
          <w:kern w:val="2"/>
          <w:sz w:val="21"/>
          <w:szCs w:val="24"/>
          <w:highlight w:val="none"/>
          <w:lang w:val="en-US" w:eastAsia="zh-CN" w:bidi="ar-SA"/>
        </w:rPr>
        <w:t>。</w:t>
      </w:r>
    </w:p>
    <w:p>
      <w:pPr>
        <w:pStyle w:val="24"/>
        <w:spacing w:line="360" w:lineRule="auto"/>
        <w:outlineLvl w:val="0"/>
        <w:rPr>
          <w:rFonts w:hint="eastAsia"/>
          <w:color w:val="auto"/>
          <w:highlight w:val="none"/>
        </w:rPr>
      </w:pPr>
      <w:bookmarkStart w:id="176" w:name="_Toc10347"/>
      <w:bookmarkEnd w:id="176"/>
      <w:bookmarkStart w:id="177" w:name="_Toc21604"/>
      <w:bookmarkEnd w:id="177"/>
      <w:bookmarkStart w:id="178" w:name="_Toc26207"/>
      <w:bookmarkEnd w:id="178"/>
      <w:bookmarkStart w:id="179" w:name="_Toc6632"/>
      <w:bookmarkEnd w:id="179"/>
      <w:bookmarkStart w:id="180" w:name="_Toc6774"/>
      <w:bookmarkStart w:id="181" w:name="_Toc614"/>
      <w:bookmarkStart w:id="182" w:name="_Toc29412"/>
      <w:bookmarkStart w:id="183" w:name="_Toc5927"/>
      <w:bookmarkStart w:id="184" w:name="_Toc8060"/>
      <w:bookmarkStart w:id="185" w:name="_Toc10509"/>
      <w:bookmarkStart w:id="186" w:name="_Toc30891"/>
      <w:r>
        <w:rPr>
          <w:rFonts w:hint="eastAsia"/>
          <w:color w:val="auto"/>
          <w:highlight w:val="none"/>
          <w:lang w:val="en-US" w:eastAsia="zh-CN"/>
        </w:rPr>
        <w:t>缩略语</w:t>
      </w:r>
      <w:bookmarkEnd w:id="180"/>
      <w:bookmarkEnd w:id="181"/>
      <w:bookmarkEnd w:id="182"/>
      <w:bookmarkEnd w:id="183"/>
      <w:bookmarkEnd w:id="184"/>
      <w:bookmarkEnd w:id="185"/>
      <w:bookmarkEnd w:id="186"/>
    </w:p>
    <w:p>
      <w:pPr>
        <w:pStyle w:val="25"/>
        <w:spacing w:line="360" w:lineRule="auto"/>
        <w:rPr>
          <w:rFonts w:hint="default" w:eastAsia="宋体"/>
          <w:highlight w:val="none"/>
          <w:lang w:val="en-US" w:eastAsia="zh-CN"/>
        </w:rPr>
      </w:pPr>
      <w:r>
        <w:rPr>
          <w:rFonts w:hint="eastAsia"/>
          <w:highlight w:val="none"/>
          <w:lang w:val="en-US" w:eastAsia="zh-CN"/>
        </w:rPr>
        <w:t>下列缩略语适用于本文件</w:t>
      </w:r>
      <w:r>
        <w:rPr>
          <w:rFonts w:hint="eastAsia" w:ascii="宋体" w:hAnsi="宋体"/>
          <w:highlight w:val="none"/>
          <w:lang w:val="en-US" w:eastAsia="zh-CN"/>
        </w:rPr>
        <w:t>：</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DCS</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分散控制系统（Distributed Control System）</w:t>
      </w:r>
    </w:p>
    <w:p>
      <w:pPr>
        <w:pStyle w:val="2"/>
        <w:numPr>
          <w:ilvl w:val="0"/>
          <w:numId w:val="0"/>
        </w:numPr>
        <w:tabs>
          <w:tab w:val="left" w:pos="0"/>
        </w:tabs>
        <w:spacing w:after="0" w:line="360"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ERP：企业资源计划（</w:t>
      </w:r>
      <w:r>
        <w:rPr>
          <w:rFonts w:hint="eastAsia" w:ascii="宋体" w:hAnsi="宋体" w:cs="宋体"/>
          <w:color w:val="auto"/>
          <w:highlight w:val="none"/>
        </w:rPr>
        <w:t>Enterprise Resource Planning</w:t>
      </w:r>
      <w:r>
        <w:rPr>
          <w:rFonts w:hint="eastAsia" w:ascii="宋体" w:hAnsi="宋体" w:cs="宋体"/>
          <w:color w:val="auto"/>
          <w:highlight w:val="none"/>
          <w:lang w:val="en-US" w:eastAsia="zh-CN"/>
        </w:rPr>
        <w:t>）</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IP</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网际互连协议（Internet Protocol）</w:t>
      </w:r>
    </w:p>
    <w:p>
      <w:pPr>
        <w:pStyle w:val="2"/>
        <w:numPr>
          <w:ilvl w:val="0"/>
          <w:numId w:val="0"/>
        </w:numPr>
        <w:tabs>
          <w:tab w:val="left" w:pos="0"/>
        </w:tabs>
        <w:spacing w:after="0" w:line="360" w:lineRule="auto"/>
        <w:ind w:firstLine="420" w:firstLineChars="200"/>
        <w:rPr>
          <w:rFonts w:hint="default" w:ascii="宋体" w:hAnsi="宋体" w:cs="宋体"/>
          <w:color w:val="auto"/>
          <w:highlight w:val="none"/>
          <w:lang w:val="en-US" w:eastAsia="zh-CN"/>
        </w:rPr>
      </w:pPr>
      <w:r>
        <w:rPr>
          <w:rFonts w:hint="eastAsia" w:ascii="宋体" w:hAnsi="宋体" w:cs="宋体"/>
          <w:color w:val="auto"/>
          <w:highlight w:val="none"/>
          <w:lang w:val="en-US" w:eastAsia="zh-CN"/>
        </w:rPr>
        <w:t>MES：制造执行系统（</w:t>
      </w:r>
      <w:r>
        <w:rPr>
          <w:rFonts w:hint="eastAsia" w:ascii="宋体" w:hAnsi="宋体" w:cs="宋体"/>
          <w:color w:val="auto"/>
          <w:highlight w:val="none"/>
        </w:rPr>
        <w:t>Manufacturing Execution System</w:t>
      </w:r>
      <w:r>
        <w:rPr>
          <w:rFonts w:hint="eastAsia" w:ascii="宋体" w:hAnsi="宋体" w:cs="宋体"/>
          <w:color w:val="auto"/>
          <w:highlight w:val="none"/>
          <w:lang w:val="en-US" w:eastAsia="zh-CN"/>
        </w:rPr>
        <w:t>）</w:t>
      </w:r>
    </w:p>
    <w:p>
      <w:pPr>
        <w:pStyle w:val="25"/>
        <w:spacing w:line="360" w:lineRule="auto"/>
        <w:rPr>
          <w:rFonts w:hint="eastAsia" w:hAnsi="宋体" w:cs="宋体"/>
          <w:color w:val="auto"/>
          <w:highlight w:val="none"/>
          <w:lang w:val="en-US" w:eastAsia="zh-CN"/>
        </w:rPr>
      </w:pPr>
      <w:r>
        <w:rPr>
          <w:rFonts w:hint="eastAsia" w:ascii="宋体" w:hAnsi="宋体" w:eastAsia="宋体" w:cs="宋体"/>
          <w:color w:val="auto"/>
          <w:highlight w:val="none"/>
          <w:lang w:val="en-US" w:eastAsia="zh-CN"/>
        </w:rPr>
        <w:t>PLC</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可编程逻辑控制器（Programmable Logic Controller</w:t>
      </w:r>
      <w:r>
        <w:rPr>
          <w:rFonts w:hint="eastAsia" w:hAnsi="宋体" w:cs="宋体"/>
          <w:color w:val="auto"/>
          <w:highlight w:val="none"/>
          <w:lang w:val="en-US" w:eastAsia="zh-CN"/>
        </w:rPr>
        <w:t>）</w:t>
      </w:r>
    </w:p>
    <w:p>
      <w:pPr>
        <w:pStyle w:val="25"/>
        <w:spacing w:line="360" w:lineRule="auto"/>
        <w:rPr>
          <w:rFonts w:hint="default" w:hAnsi="宋体" w:cs="宋体"/>
          <w:color w:val="auto"/>
          <w:highlight w:val="none"/>
          <w:lang w:val="en-US" w:eastAsia="zh-CN"/>
        </w:rPr>
      </w:pPr>
      <w:r>
        <w:rPr>
          <w:rFonts w:hint="eastAsia" w:ascii="宋体" w:hAnsi="宋体" w:cs="宋体"/>
          <w:color w:val="auto"/>
          <w:highlight w:val="none"/>
          <w:lang w:val="en-US" w:eastAsia="zh-CN"/>
        </w:rPr>
        <w:t>RFID：</w:t>
      </w:r>
      <w:r>
        <w:rPr>
          <w:rFonts w:hint="eastAsia" w:hAnsi="宋体" w:cs="宋体"/>
          <w:color w:val="auto"/>
          <w:highlight w:val="none"/>
          <w:lang w:val="en-US" w:eastAsia="zh-CN"/>
        </w:rPr>
        <w:t>频射识别（</w:t>
      </w:r>
      <w:r>
        <w:rPr>
          <w:rFonts w:hint="eastAsia" w:ascii="宋体" w:hAnsi="宋体" w:cs="宋体"/>
          <w:color w:val="auto"/>
          <w:highlight w:val="none"/>
          <w:lang w:val="en-US" w:eastAsia="zh-CN"/>
        </w:rPr>
        <w:t>Radio</w:t>
      </w:r>
      <w:r>
        <w:rPr>
          <w:rFonts w:hint="eastAsia" w:hAnsi="宋体" w:cs="宋体"/>
          <w:color w:val="auto"/>
          <w:highlight w:val="none"/>
          <w:lang w:val="en-US" w:eastAsia="zh-CN"/>
        </w:rPr>
        <w:t xml:space="preserve"> </w:t>
      </w:r>
      <w:r>
        <w:rPr>
          <w:rFonts w:hint="eastAsia" w:ascii="宋体" w:hAnsi="宋体" w:cs="宋体"/>
          <w:color w:val="auto"/>
          <w:highlight w:val="none"/>
          <w:lang w:val="en-US" w:eastAsia="zh-CN"/>
        </w:rPr>
        <w:t>Frequency</w:t>
      </w:r>
      <w:r>
        <w:rPr>
          <w:rFonts w:hint="eastAsia" w:hAnsi="宋体" w:cs="宋体"/>
          <w:color w:val="auto"/>
          <w:highlight w:val="none"/>
          <w:lang w:val="en-US" w:eastAsia="zh-CN"/>
        </w:rPr>
        <w:t xml:space="preserve"> </w:t>
      </w:r>
      <w:r>
        <w:rPr>
          <w:rFonts w:hint="eastAsia" w:ascii="宋体" w:hAnsi="宋体" w:cs="宋体"/>
          <w:color w:val="auto"/>
          <w:highlight w:val="none"/>
          <w:lang w:val="en-US" w:eastAsia="zh-CN"/>
        </w:rPr>
        <w:t>Identification</w:t>
      </w:r>
      <w:r>
        <w:rPr>
          <w:rFonts w:hint="eastAsia" w:hAnsi="宋体" w:cs="宋体"/>
          <w:color w:val="auto"/>
          <w:highlight w:val="none"/>
          <w:lang w:val="en-US" w:eastAsia="zh-CN"/>
        </w:rPr>
        <w:t>）</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SCADA</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数据采集与监控系统（Supervisory Control And Data Acquisition）</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TLCP</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传输层密码协议（Transport Layer Cryptographic Protocol）</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TLS</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传输层安全协议（Transport Layer Security</w:t>
      </w:r>
      <w:r>
        <w:rPr>
          <w:rFonts w:hint="eastAsia" w:ascii="宋体" w:hAnsi="宋体" w:cs="宋体"/>
          <w:color w:val="auto"/>
          <w:highlight w:val="none"/>
          <w:lang w:val="en-US" w:eastAsia="zh-CN"/>
        </w:rPr>
        <w:t>）</w:t>
      </w:r>
    </w:p>
    <w:p>
      <w:pPr>
        <w:pStyle w:val="24"/>
        <w:spacing w:line="360" w:lineRule="auto"/>
        <w:outlineLvl w:val="0"/>
        <w:rPr>
          <w:rFonts w:hint="eastAsia"/>
          <w:color w:val="auto"/>
          <w:highlight w:val="none"/>
          <w:lang w:val="en-US" w:eastAsia="zh-CN"/>
        </w:rPr>
      </w:pPr>
      <w:bookmarkStart w:id="187" w:name="_Toc23456"/>
      <w:r>
        <w:rPr>
          <w:rFonts w:hint="eastAsia"/>
          <w:color w:val="auto"/>
          <w:highlight w:val="none"/>
          <w:lang w:val="en-US" w:eastAsia="zh-CN"/>
        </w:rPr>
        <w:t>总体原则</w:t>
      </w:r>
      <w:bookmarkEnd w:id="187"/>
    </w:p>
    <w:p>
      <w:pPr>
        <w:pStyle w:val="2"/>
        <w:widowControl w:val="0"/>
        <w:numPr>
          <w:ilvl w:val="0"/>
          <w:numId w:val="0"/>
        </w:numPr>
        <w:tabs>
          <w:tab w:val="left" w:pos="0"/>
        </w:tabs>
        <w:autoSpaceDE/>
        <w:autoSpaceDN/>
        <w:spacing w:line="360" w:lineRule="auto"/>
        <w:ind w:firstLine="42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工业数据分类分级应满足以下原则：</w:t>
      </w:r>
    </w:p>
    <w:p>
      <w:pPr>
        <w:pStyle w:val="25"/>
        <w:numPr>
          <w:ilvl w:val="0"/>
          <w:numId w:val="11"/>
        </w:numPr>
        <w:tabs>
          <w:tab w:val="clear" w:pos="0"/>
        </w:tabs>
        <w:spacing w:line="360" w:lineRule="auto"/>
        <w:ind w:left="840" w:leftChars="0" w:hanging="420" w:firstLineChars="0"/>
        <w:rPr>
          <w:rFonts w:hint="eastAsia" w:ascii="宋体" w:eastAsia="宋体"/>
          <w:color w:val="auto"/>
          <w:highlight w:val="none"/>
        </w:rPr>
      </w:pPr>
      <w:r>
        <w:rPr>
          <w:rFonts w:hint="eastAsia" w:ascii="宋体" w:eastAsia="宋体"/>
          <w:color w:val="auto"/>
          <w:highlight w:val="none"/>
        </w:rPr>
        <w:t>合法合规原则：数据分类分级应遵循有关法律法规及部门规定要求，优先对国家或行业有专门管理要求的数据进行识别和管理，满足相应的数据安全管理要求</w:t>
      </w:r>
      <w:r>
        <w:rPr>
          <w:rFonts w:hint="eastAsia" w:ascii="宋体" w:eastAsia="宋体"/>
          <w:color w:val="auto"/>
          <w:highlight w:val="none"/>
          <w:lang w:eastAsia="zh-CN"/>
        </w:rPr>
        <w:t>；</w:t>
      </w:r>
    </w:p>
    <w:p>
      <w:pPr>
        <w:pStyle w:val="25"/>
        <w:numPr>
          <w:ilvl w:val="0"/>
          <w:numId w:val="11"/>
        </w:numPr>
        <w:tabs>
          <w:tab w:val="clear" w:pos="0"/>
        </w:tabs>
        <w:spacing w:line="360" w:lineRule="auto"/>
        <w:ind w:left="840" w:leftChars="0" w:hanging="420" w:firstLineChars="0"/>
        <w:rPr>
          <w:rFonts w:hint="eastAsia" w:ascii="宋体" w:eastAsia="宋体"/>
          <w:color w:val="auto"/>
          <w:highlight w:val="none"/>
        </w:rPr>
      </w:pPr>
      <w:r>
        <w:rPr>
          <w:rFonts w:hint="eastAsia" w:ascii="宋体" w:eastAsia="宋体"/>
          <w:color w:val="auto"/>
          <w:highlight w:val="none"/>
        </w:rPr>
        <w:t>分类多维原则：数据分类具有多种视角和维度，可从便于数据管理和使用角度，考虑国家、行业、组织等多个视角的数据分类</w:t>
      </w:r>
      <w:r>
        <w:rPr>
          <w:rFonts w:hint="eastAsia" w:ascii="宋体" w:eastAsia="宋体"/>
          <w:color w:val="auto"/>
          <w:highlight w:val="none"/>
          <w:lang w:eastAsia="zh-CN"/>
        </w:rPr>
        <w:t>；</w:t>
      </w:r>
    </w:p>
    <w:p>
      <w:pPr>
        <w:pStyle w:val="25"/>
        <w:numPr>
          <w:ilvl w:val="0"/>
          <w:numId w:val="11"/>
        </w:numPr>
        <w:tabs>
          <w:tab w:val="clear" w:pos="0"/>
        </w:tabs>
        <w:spacing w:line="360" w:lineRule="auto"/>
        <w:ind w:left="840" w:leftChars="0" w:hanging="420" w:firstLineChars="0"/>
        <w:rPr>
          <w:rFonts w:hint="eastAsia" w:ascii="宋体" w:eastAsia="宋体"/>
          <w:color w:val="auto"/>
          <w:highlight w:val="none"/>
        </w:rPr>
      </w:pPr>
      <w:r>
        <w:rPr>
          <w:rFonts w:hint="eastAsia" w:ascii="宋体" w:eastAsia="宋体"/>
          <w:color w:val="auto"/>
          <w:highlight w:val="none"/>
        </w:rPr>
        <w:t>分级明确原则：数据分级的目的是为了保护数据安全，数据分级的各级别应界限明确，不同级别的数据应采取不同的保护措施</w:t>
      </w:r>
      <w:r>
        <w:rPr>
          <w:rFonts w:hint="eastAsia" w:ascii="宋体" w:eastAsia="宋体"/>
          <w:color w:val="auto"/>
          <w:highlight w:val="none"/>
          <w:lang w:eastAsia="zh-CN"/>
        </w:rPr>
        <w:t>；</w:t>
      </w:r>
    </w:p>
    <w:p>
      <w:pPr>
        <w:pStyle w:val="25"/>
        <w:numPr>
          <w:ilvl w:val="0"/>
          <w:numId w:val="11"/>
        </w:numPr>
        <w:tabs>
          <w:tab w:val="clear" w:pos="0"/>
        </w:tabs>
        <w:spacing w:line="360" w:lineRule="auto"/>
        <w:ind w:left="840" w:leftChars="0" w:hanging="420" w:firstLineChars="0"/>
        <w:rPr>
          <w:rFonts w:hint="eastAsia" w:ascii="宋体" w:eastAsia="宋体"/>
          <w:color w:val="auto"/>
          <w:highlight w:val="none"/>
        </w:rPr>
      </w:pPr>
      <w:r>
        <w:rPr>
          <w:rFonts w:hint="eastAsia" w:ascii="宋体" w:eastAsia="宋体"/>
          <w:color w:val="auto"/>
          <w:highlight w:val="none"/>
        </w:rPr>
        <w:t>就高从严原则：数据分级时采用就高不就低的原则进行定级，例如数据集包含多个级别的数据项，按照数据项的最高级别对数据集进行定级</w:t>
      </w:r>
      <w:r>
        <w:rPr>
          <w:rFonts w:hint="eastAsia" w:ascii="宋体" w:eastAsia="宋体"/>
          <w:color w:val="auto"/>
          <w:highlight w:val="none"/>
          <w:lang w:eastAsia="zh-CN"/>
        </w:rPr>
        <w:t>；</w:t>
      </w:r>
    </w:p>
    <w:p>
      <w:pPr>
        <w:pStyle w:val="25"/>
        <w:numPr>
          <w:ilvl w:val="0"/>
          <w:numId w:val="11"/>
        </w:numPr>
        <w:spacing w:line="360" w:lineRule="auto"/>
        <w:ind w:left="840" w:hanging="420" w:firstLineChars="0"/>
        <w:rPr>
          <w:rFonts w:hint="eastAsia"/>
          <w:lang w:val="en-US" w:eastAsia="zh-CN"/>
        </w:rPr>
      </w:pPr>
      <w:r>
        <w:rPr>
          <w:rFonts w:hint="eastAsia" w:ascii="宋体" w:eastAsia="宋体"/>
          <w:color w:val="auto"/>
          <w:highlight w:val="none"/>
        </w:rPr>
        <w:t>动态调整原则：数据的类别级别可能因时间变化、政策变化、安全事件发生、不同业务场景的敏感性变化或相关行业规则不同而发生改变，因此需要对数据分类分级进行定期审核并及时调整。</w:t>
      </w:r>
    </w:p>
    <w:p>
      <w:pPr>
        <w:pStyle w:val="24"/>
        <w:spacing w:line="360" w:lineRule="auto"/>
        <w:outlineLvl w:val="0"/>
        <w:rPr>
          <w:rFonts w:hint="eastAsia"/>
          <w:color w:val="auto"/>
          <w:highlight w:val="none"/>
        </w:rPr>
      </w:pPr>
      <w:bookmarkStart w:id="188" w:name="_Toc21259"/>
      <w:bookmarkEnd w:id="188"/>
      <w:bookmarkStart w:id="189" w:name="_Toc14166"/>
      <w:bookmarkEnd w:id="189"/>
      <w:bookmarkStart w:id="190" w:name="_Toc18342"/>
      <w:bookmarkEnd w:id="190"/>
      <w:bookmarkStart w:id="191" w:name="_Toc8037"/>
      <w:bookmarkEnd w:id="191"/>
      <w:bookmarkStart w:id="192" w:name="_Toc13415"/>
      <w:bookmarkEnd w:id="192"/>
      <w:bookmarkStart w:id="193" w:name="_Toc18690"/>
      <w:bookmarkEnd w:id="193"/>
      <w:bookmarkStart w:id="194" w:name="_Toc15014"/>
      <w:bookmarkEnd w:id="194"/>
      <w:bookmarkStart w:id="195" w:name="_Toc3810"/>
      <w:bookmarkEnd w:id="195"/>
      <w:bookmarkStart w:id="196" w:name="_Toc24114"/>
      <w:bookmarkEnd w:id="196"/>
      <w:bookmarkStart w:id="197" w:name="_Toc28629"/>
      <w:bookmarkEnd w:id="197"/>
      <w:bookmarkStart w:id="198" w:name="_Toc25529"/>
      <w:bookmarkEnd w:id="198"/>
      <w:bookmarkStart w:id="199" w:name="_Toc8846"/>
      <w:bookmarkEnd w:id="199"/>
      <w:bookmarkStart w:id="200" w:name="_Toc22550"/>
      <w:bookmarkEnd w:id="200"/>
      <w:bookmarkStart w:id="201" w:name="_Toc7254"/>
      <w:bookmarkEnd w:id="201"/>
      <w:bookmarkStart w:id="202" w:name="_Toc9647"/>
      <w:bookmarkEnd w:id="202"/>
      <w:bookmarkStart w:id="203" w:name="_Toc17093"/>
      <w:bookmarkEnd w:id="203"/>
      <w:bookmarkStart w:id="204" w:name="_Toc19012"/>
      <w:bookmarkEnd w:id="204"/>
      <w:bookmarkStart w:id="205" w:name="_Toc6675"/>
      <w:bookmarkEnd w:id="205"/>
      <w:bookmarkStart w:id="206" w:name="_Toc39"/>
      <w:bookmarkEnd w:id="206"/>
      <w:bookmarkStart w:id="207" w:name="_Toc6740"/>
      <w:bookmarkEnd w:id="207"/>
      <w:bookmarkStart w:id="208" w:name="_Toc9523"/>
      <w:bookmarkEnd w:id="208"/>
      <w:bookmarkStart w:id="209" w:name="_Toc23689"/>
      <w:bookmarkEnd w:id="209"/>
      <w:bookmarkStart w:id="210" w:name="_Toc30466"/>
      <w:bookmarkEnd w:id="210"/>
      <w:bookmarkStart w:id="211" w:name="_Toc32014"/>
      <w:bookmarkEnd w:id="211"/>
      <w:bookmarkStart w:id="212" w:name="_Toc22899"/>
      <w:bookmarkEnd w:id="212"/>
      <w:bookmarkStart w:id="213" w:name="_Toc29750"/>
      <w:bookmarkEnd w:id="213"/>
      <w:bookmarkStart w:id="214" w:name="_Toc18051"/>
      <w:bookmarkEnd w:id="214"/>
      <w:bookmarkStart w:id="215" w:name="_Toc14894"/>
      <w:bookmarkEnd w:id="215"/>
      <w:bookmarkStart w:id="216" w:name="_Toc17073"/>
      <w:bookmarkStart w:id="217" w:name="_Toc2115"/>
      <w:bookmarkStart w:id="218" w:name="_Toc18548"/>
      <w:bookmarkStart w:id="219" w:name="_Toc6928"/>
      <w:bookmarkStart w:id="220" w:name="_Toc29222"/>
      <w:bookmarkStart w:id="221" w:name="_Toc10207"/>
      <w:bookmarkStart w:id="222" w:name="_Toc19140"/>
      <w:bookmarkStart w:id="223" w:name="_Toc420508186"/>
      <w:bookmarkStart w:id="224" w:name="_Toc420582963"/>
      <w:r>
        <w:rPr>
          <w:rFonts w:hint="eastAsia"/>
          <w:color w:val="auto"/>
          <w:highlight w:val="none"/>
          <w:lang w:val="en-US" w:eastAsia="zh-CN"/>
        </w:rPr>
        <w:t>数据分类</w:t>
      </w:r>
      <w:bookmarkEnd w:id="216"/>
      <w:bookmarkEnd w:id="217"/>
      <w:bookmarkEnd w:id="218"/>
      <w:bookmarkEnd w:id="219"/>
      <w:bookmarkEnd w:id="220"/>
      <w:bookmarkEnd w:id="221"/>
      <w:bookmarkEnd w:id="222"/>
    </w:p>
    <w:p>
      <w:pPr>
        <w:pStyle w:val="26"/>
        <w:bidi w:val="0"/>
        <w:outlineLvl w:val="1"/>
        <w:rPr>
          <w:rFonts w:hint="default"/>
          <w:lang w:val="en-US" w:eastAsia="zh-CN"/>
        </w:rPr>
      </w:pPr>
      <w:bookmarkStart w:id="225" w:name="_Toc1378"/>
      <w:bookmarkStart w:id="226" w:name="_Toc10150"/>
      <w:bookmarkStart w:id="227" w:name="_Toc23868"/>
      <w:bookmarkStart w:id="228" w:name="_Toc13006"/>
      <w:r>
        <w:rPr>
          <w:rFonts w:hint="eastAsia"/>
          <w:lang w:val="en-US" w:eastAsia="zh-CN"/>
        </w:rPr>
        <w:t>行业领域维度</w:t>
      </w:r>
      <w:bookmarkEnd w:id="225"/>
      <w:bookmarkEnd w:id="226"/>
      <w:bookmarkEnd w:id="227"/>
      <w:bookmarkEnd w:id="228"/>
    </w:p>
    <w:p>
      <w:pPr>
        <w:pStyle w:val="25"/>
        <w:numPr>
          <w:ilvl w:val="0"/>
          <w:numId w:val="0"/>
        </w:numPr>
        <w:spacing w:line="360" w:lineRule="auto"/>
        <w:ind w:firstLine="420" w:firstLineChars="200"/>
        <w:rPr>
          <w:rFonts w:hint="eastAsia" w:ascii="宋体"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按照业务所属行业领域，将工业数据分为</w:t>
      </w:r>
      <w:r>
        <w:rPr>
          <w:rFonts w:hint="eastAsia" w:hAnsi="Times New Roman" w:cs="Times New Roman"/>
          <w:color w:val="auto"/>
          <w:sz w:val="21"/>
          <w:szCs w:val="20"/>
          <w:highlight w:val="none"/>
          <w:lang w:val="en-US" w:eastAsia="zh-CN"/>
        </w:rPr>
        <w:t>采矿业数据、制造业数据、</w:t>
      </w:r>
      <w:r>
        <w:rPr>
          <w:rFonts w:hint="eastAsia"/>
          <w:color w:val="auto"/>
          <w:highlight w:val="none"/>
          <w:lang w:val="en-US" w:eastAsia="zh-CN"/>
        </w:rPr>
        <w:t>电力/热力/燃气及水的生产和供应业</w:t>
      </w:r>
      <w:r>
        <w:rPr>
          <w:rFonts w:hint="eastAsia" w:hAnsi="Times New Roman" w:cs="Times New Roman"/>
          <w:color w:val="auto"/>
          <w:sz w:val="21"/>
          <w:szCs w:val="20"/>
          <w:highlight w:val="none"/>
          <w:lang w:val="en-US" w:eastAsia="zh-CN"/>
        </w:rPr>
        <w:t>数据</w:t>
      </w:r>
      <w:r>
        <w:rPr>
          <w:rFonts w:hint="eastAsia" w:cs="Times New Roman"/>
          <w:color w:val="auto"/>
          <w:sz w:val="21"/>
          <w:szCs w:val="20"/>
          <w:highlight w:val="none"/>
          <w:lang w:val="en-US" w:eastAsia="zh-CN"/>
        </w:rPr>
        <w:t>。</w:t>
      </w:r>
    </w:p>
    <w:p>
      <w:pPr>
        <w:pStyle w:val="25"/>
        <w:numPr>
          <w:ilvl w:val="0"/>
          <w:numId w:val="12"/>
        </w:numPr>
        <w:tabs>
          <w:tab w:val="clear" w:pos="0"/>
        </w:tabs>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采矿业数据，包括但不限于以下内容：</w:t>
      </w:r>
    </w:p>
    <w:p>
      <w:pPr>
        <w:pStyle w:val="25"/>
        <w:numPr>
          <w:ilvl w:val="0"/>
          <w:numId w:val="13"/>
        </w:numPr>
        <w:tabs>
          <w:tab w:val="clear" w:pos="0"/>
        </w:tabs>
        <w:spacing w:line="360" w:lineRule="auto"/>
        <w:ind w:left="1260" w:leftChars="0" w:hanging="420" w:firstLineChars="0"/>
        <w:rPr>
          <w:rFonts w:hint="eastAsia" w:ascii="宋体" w:eastAsia="宋体"/>
          <w:color w:val="auto"/>
          <w:highlight w:val="none"/>
          <w:lang w:val="en-US" w:eastAsia="zh-CN"/>
        </w:rPr>
      </w:pPr>
      <w:r>
        <w:rPr>
          <w:rFonts w:hint="eastAsia"/>
          <w:color w:val="auto"/>
          <w:highlight w:val="none"/>
          <w:lang w:val="en-US" w:eastAsia="zh-CN"/>
        </w:rPr>
        <w:t>煤炭开采和洗选业数据：</w:t>
      </w:r>
      <w:r>
        <w:rPr>
          <w:rFonts w:hint="eastAsia"/>
          <w:color w:val="auto"/>
          <w:highlight w:val="none"/>
        </w:rPr>
        <w:t>烟煤和无烟煤开采洗选</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褐煤开采洗选</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其他煤炭采选</w:t>
      </w:r>
      <w:r>
        <w:rPr>
          <w:rFonts w:hint="eastAsia" w:ascii="宋体" w:eastAsia="宋体"/>
          <w:color w:val="auto"/>
          <w:highlight w:val="none"/>
          <w:lang w:val="en-US" w:eastAsia="zh-CN"/>
        </w:rPr>
        <w:t>数据</w:t>
      </w:r>
      <w:r>
        <w:rPr>
          <w:rFonts w:hint="eastAsia"/>
          <w:color w:val="auto"/>
          <w:highlight w:val="none"/>
          <w:lang w:val="en-US" w:eastAsia="zh-CN"/>
        </w:rPr>
        <w:t>；</w:t>
      </w:r>
    </w:p>
    <w:p>
      <w:pPr>
        <w:pStyle w:val="25"/>
        <w:numPr>
          <w:ilvl w:val="0"/>
          <w:numId w:val="13"/>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石油和天然气开采业数据：</w:t>
      </w:r>
      <w:r>
        <w:rPr>
          <w:rFonts w:hint="eastAsia"/>
          <w:color w:val="auto"/>
          <w:highlight w:val="none"/>
        </w:rPr>
        <w:t>石油开采</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陆地石油开采</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海洋石油开采</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天然气开采</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陆地天然气开采</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海洋天然气及可燃冰开采</w:t>
      </w:r>
      <w:r>
        <w:rPr>
          <w:rFonts w:hint="eastAsia" w:ascii="宋体" w:eastAsia="宋体"/>
          <w:color w:val="auto"/>
          <w:highlight w:val="none"/>
          <w:lang w:val="en-US" w:eastAsia="zh-CN"/>
        </w:rPr>
        <w:t>数据</w:t>
      </w:r>
      <w:r>
        <w:rPr>
          <w:rFonts w:hint="eastAsia"/>
          <w:color w:val="auto"/>
          <w:highlight w:val="none"/>
          <w:lang w:val="en-US" w:eastAsia="zh-CN"/>
        </w:rPr>
        <w:t>；</w:t>
      </w:r>
    </w:p>
    <w:p>
      <w:pPr>
        <w:pStyle w:val="25"/>
        <w:numPr>
          <w:ilvl w:val="0"/>
          <w:numId w:val="13"/>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黑色金属矿采选业数据：</w:t>
      </w:r>
      <w:r>
        <w:rPr>
          <w:rFonts w:hint="eastAsia"/>
          <w:color w:val="auto"/>
          <w:highlight w:val="none"/>
        </w:rPr>
        <w:t>铁矿采选</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锰矿</w:t>
      </w:r>
      <w:r>
        <w:rPr>
          <w:rFonts w:hint="eastAsia" w:ascii="宋体" w:eastAsia="宋体"/>
          <w:color w:val="auto"/>
          <w:highlight w:val="none"/>
          <w:lang w:val="en-US" w:eastAsia="zh-CN"/>
        </w:rPr>
        <w:t>/</w:t>
      </w:r>
      <w:r>
        <w:rPr>
          <w:rFonts w:hint="eastAsia"/>
          <w:color w:val="auto"/>
          <w:highlight w:val="none"/>
        </w:rPr>
        <w:t>铬矿采选</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其他黑色金属矿采选</w:t>
      </w:r>
      <w:r>
        <w:rPr>
          <w:rFonts w:hint="eastAsia" w:ascii="宋体" w:eastAsia="宋体"/>
          <w:color w:val="auto"/>
          <w:highlight w:val="none"/>
          <w:lang w:val="en-US" w:eastAsia="zh-CN"/>
        </w:rPr>
        <w:t>数据</w:t>
      </w:r>
      <w:r>
        <w:rPr>
          <w:rFonts w:hint="eastAsia"/>
          <w:color w:val="auto"/>
          <w:highlight w:val="none"/>
          <w:lang w:val="en-US" w:eastAsia="zh-CN"/>
        </w:rPr>
        <w:t>；</w:t>
      </w:r>
    </w:p>
    <w:p>
      <w:pPr>
        <w:pStyle w:val="25"/>
        <w:numPr>
          <w:ilvl w:val="0"/>
          <w:numId w:val="13"/>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有色金属矿采选业数据：</w:t>
      </w:r>
      <w:r>
        <w:rPr>
          <w:rFonts w:hint="eastAsia"/>
          <w:color w:val="auto"/>
          <w:highlight w:val="none"/>
        </w:rPr>
        <w:t>铜矿采选</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铅锌矿采选</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镍钴矿采选</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锡矿采选</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锑矿采选</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铝矿采选</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镁矿采选</w:t>
      </w:r>
      <w:r>
        <w:rPr>
          <w:rFonts w:hint="eastAsia" w:ascii="宋体" w:eastAsia="宋体"/>
          <w:color w:val="auto"/>
          <w:highlight w:val="none"/>
          <w:lang w:val="en-US" w:eastAsia="zh-CN"/>
        </w:rPr>
        <w:t>数据、金矿采选数据、银矿采选数据、</w:t>
      </w:r>
      <w:r>
        <w:rPr>
          <w:rFonts w:hint="eastAsia"/>
          <w:color w:val="auto"/>
          <w:highlight w:val="none"/>
        </w:rPr>
        <w:t>钨钼矿采选</w:t>
      </w:r>
      <w:r>
        <w:rPr>
          <w:rFonts w:hint="eastAsia" w:ascii="宋体" w:eastAsia="宋体"/>
          <w:color w:val="auto"/>
          <w:highlight w:val="none"/>
          <w:lang w:val="en-US" w:eastAsia="zh-CN"/>
        </w:rPr>
        <w:t>数据、</w:t>
      </w:r>
      <w:r>
        <w:rPr>
          <w:rFonts w:hint="eastAsia"/>
          <w:color w:val="auto"/>
          <w:highlight w:val="none"/>
        </w:rPr>
        <w:t>稀土金属矿采选</w:t>
      </w:r>
      <w:r>
        <w:rPr>
          <w:rFonts w:hint="eastAsia" w:ascii="宋体" w:eastAsia="宋体"/>
          <w:color w:val="auto"/>
          <w:highlight w:val="none"/>
          <w:lang w:val="en-US" w:eastAsia="zh-CN"/>
        </w:rPr>
        <w:t>数据、</w:t>
      </w:r>
      <w:r>
        <w:rPr>
          <w:rFonts w:hint="eastAsia"/>
          <w:color w:val="auto"/>
          <w:highlight w:val="none"/>
        </w:rPr>
        <w:t>放射性金属矿采选</w:t>
      </w:r>
      <w:r>
        <w:rPr>
          <w:rFonts w:hint="eastAsia" w:ascii="宋体" w:eastAsia="宋体"/>
          <w:color w:val="auto"/>
          <w:highlight w:val="none"/>
          <w:lang w:val="en-US" w:eastAsia="zh-CN"/>
        </w:rPr>
        <w:t>数据</w:t>
      </w:r>
      <w:r>
        <w:rPr>
          <w:rFonts w:hint="eastAsia"/>
          <w:color w:val="auto"/>
          <w:highlight w:val="none"/>
          <w:lang w:val="en-US" w:eastAsia="zh-CN"/>
        </w:rPr>
        <w:t>；</w:t>
      </w:r>
    </w:p>
    <w:p>
      <w:pPr>
        <w:pStyle w:val="25"/>
        <w:numPr>
          <w:ilvl w:val="0"/>
          <w:numId w:val="13"/>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非金属矿采选业数据：</w:t>
      </w:r>
      <w:r>
        <w:rPr>
          <w:rFonts w:hint="eastAsia"/>
          <w:color w:val="auto"/>
          <w:highlight w:val="none"/>
        </w:rPr>
        <w:t>石灰石</w:t>
      </w:r>
      <w:r>
        <w:rPr>
          <w:rFonts w:hint="eastAsia" w:ascii="宋体" w:eastAsia="宋体"/>
          <w:color w:val="auto"/>
          <w:highlight w:val="none"/>
          <w:lang w:val="en-US" w:eastAsia="zh-CN"/>
        </w:rPr>
        <w:t>/</w:t>
      </w:r>
      <w:r>
        <w:rPr>
          <w:rFonts w:hint="eastAsia"/>
          <w:color w:val="auto"/>
          <w:highlight w:val="none"/>
        </w:rPr>
        <w:t>石膏开采</w:t>
      </w:r>
      <w:r>
        <w:rPr>
          <w:rFonts w:hint="eastAsia" w:ascii="宋体" w:eastAsia="宋体"/>
          <w:color w:val="auto"/>
          <w:highlight w:val="none"/>
          <w:lang w:val="en-US" w:eastAsia="zh-CN"/>
        </w:rPr>
        <w:t>数据、</w:t>
      </w:r>
      <w:r>
        <w:rPr>
          <w:rFonts w:hint="eastAsia"/>
          <w:color w:val="auto"/>
          <w:highlight w:val="none"/>
        </w:rPr>
        <w:t>建筑装饰用石开采</w:t>
      </w:r>
      <w:r>
        <w:rPr>
          <w:rFonts w:hint="eastAsia" w:ascii="宋体" w:eastAsia="宋体"/>
          <w:color w:val="auto"/>
          <w:highlight w:val="none"/>
          <w:lang w:val="en-US" w:eastAsia="zh-CN"/>
        </w:rPr>
        <w:t>数据、</w:t>
      </w:r>
      <w:r>
        <w:rPr>
          <w:rFonts w:hint="eastAsia"/>
          <w:color w:val="auto"/>
          <w:highlight w:val="none"/>
        </w:rPr>
        <w:t>耐火土石开采</w:t>
      </w:r>
      <w:r>
        <w:rPr>
          <w:rFonts w:hint="eastAsia" w:ascii="宋体" w:eastAsia="宋体"/>
          <w:color w:val="auto"/>
          <w:highlight w:val="none"/>
          <w:lang w:val="en-US" w:eastAsia="zh-CN"/>
        </w:rPr>
        <w:t>数据、</w:t>
      </w:r>
      <w:r>
        <w:rPr>
          <w:rFonts w:hint="eastAsia"/>
          <w:color w:val="auto"/>
          <w:highlight w:val="none"/>
        </w:rPr>
        <w:t>粘土</w:t>
      </w:r>
      <w:r>
        <w:rPr>
          <w:rFonts w:hint="eastAsia" w:ascii="宋体" w:eastAsia="宋体"/>
          <w:color w:val="auto"/>
          <w:highlight w:val="none"/>
          <w:lang w:val="en-US" w:eastAsia="zh-CN"/>
        </w:rPr>
        <w:t>开采数据、</w:t>
      </w:r>
      <w:r>
        <w:rPr>
          <w:rFonts w:hint="eastAsia"/>
          <w:color w:val="auto"/>
          <w:highlight w:val="none"/>
        </w:rPr>
        <w:t>采盐</w:t>
      </w:r>
      <w:r>
        <w:rPr>
          <w:rFonts w:hint="eastAsia" w:ascii="宋体" w:eastAsia="宋体"/>
          <w:color w:val="auto"/>
          <w:highlight w:val="none"/>
          <w:lang w:val="en-US" w:eastAsia="zh-CN"/>
        </w:rPr>
        <w:t>数据、</w:t>
      </w:r>
      <w:r>
        <w:rPr>
          <w:rFonts w:hint="eastAsia"/>
          <w:color w:val="auto"/>
          <w:highlight w:val="none"/>
        </w:rPr>
        <w:t>石棉</w:t>
      </w:r>
      <w:r>
        <w:rPr>
          <w:rFonts w:hint="eastAsia" w:ascii="宋体" w:eastAsia="宋体"/>
          <w:color w:val="auto"/>
          <w:highlight w:val="none"/>
          <w:lang w:val="en-US" w:eastAsia="zh-CN"/>
        </w:rPr>
        <w:t>开采数据、</w:t>
      </w:r>
      <w:r>
        <w:rPr>
          <w:rFonts w:hint="eastAsia"/>
          <w:color w:val="auto"/>
          <w:highlight w:val="none"/>
        </w:rPr>
        <w:t>石棉</w:t>
      </w:r>
      <w:r>
        <w:rPr>
          <w:rFonts w:hint="eastAsia" w:ascii="宋体" w:eastAsia="宋体"/>
          <w:color w:val="auto"/>
          <w:highlight w:val="none"/>
          <w:lang w:val="en-US" w:eastAsia="zh-CN"/>
        </w:rPr>
        <w:t>/</w:t>
      </w:r>
      <w:r>
        <w:rPr>
          <w:rFonts w:hint="eastAsia"/>
          <w:color w:val="auto"/>
          <w:highlight w:val="none"/>
        </w:rPr>
        <w:t>云母矿采选</w:t>
      </w:r>
      <w:r>
        <w:rPr>
          <w:rFonts w:hint="eastAsia" w:ascii="宋体" w:eastAsia="宋体"/>
          <w:color w:val="auto"/>
          <w:highlight w:val="none"/>
          <w:lang w:val="en-US" w:eastAsia="zh-CN"/>
        </w:rPr>
        <w:t>数据、</w:t>
      </w:r>
      <w:r>
        <w:rPr>
          <w:rFonts w:hint="eastAsia"/>
          <w:color w:val="auto"/>
          <w:highlight w:val="none"/>
        </w:rPr>
        <w:t>石墨</w:t>
      </w:r>
      <w:r>
        <w:rPr>
          <w:rFonts w:hint="eastAsia" w:ascii="宋体" w:eastAsia="宋体"/>
          <w:color w:val="auto"/>
          <w:highlight w:val="none"/>
          <w:lang w:val="en-US" w:eastAsia="zh-CN"/>
        </w:rPr>
        <w:t>/</w:t>
      </w:r>
      <w:r>
        <w:rPr>
          <w:rFonts w:hint="eastAsia"/>
          <w:color w:val="auto"/>
          <w:highlight w:val="none"/>
        </w:rPr>
        <w:t>滑石采选</w:t>
      </w:r>
      <w:r>
        <w:rPr>
          <w:rFonts w:hint="eastAsia" w:ascii="宋体" w:eastAsia="宋体"/>
          <w:color w:val="auto"/>
          <w:highlight w:val="none"/>
          <w:lang w:val="en-US" w:eastAsia="zh-CN"/>
        </w:rPr>
        <w:t>数据、</w:t>
      </w:r>
      <w:r>
        <w:rPr>
          <w:rFonts w:hint="eastAsia"/>
          <w:color w:val="auto"/>
          <w:highlight w:val="none"/>
        </w:rPr>
        <w:t>宝石</w:t>
      </w:r>
      <w:r>
        <w:rPr>
          <w:rFonts w:hint="eastAsia" w:ascii="宋体" w:eastAsia="宋体"/>
          <w:color w:val="auto"/>
          <w:highlight w:val="none"/>
          <w:lang w:val="en-US" w:eastAsia="zh-CN"/>
        </w:rPr>
        <w:t>/</w:t>
      </w:r>
      <w:r>
        <w:rPr>
          <w:rFonts w:hint="eastAsia"/>
          <w:color w:val="auto"/>
          <w:highlight w:val="none"/>
        </w:rPr>
        <w:t>玉石采选</w:t>
      </w:r>
      <w:r>
        <w:rPr>
          <w:rFonts w:hint="eastAsia" w:ascii="宋体" w:eastAsia="宋体"/>
          <w:color w:val="auto"/>
          <w:highlight w:val="none"/>
          <w:lang w:val="en-US" w:eastAsia="zh-CN"/>
        </w:rPr>
        <w:t>数据</w:t>
      </w:r>
      <w:r>
        <w:rPr>
          <w:rFonts w:hint="eastAsia"/>
          <w:color w:val="auto"/>
          <w:highlight w:val="none"/>
          <w:lang w:val="en-US" w:eastAsia="zh-CN"/>
        </w:rPr>
        <w:t>；</w:t>
      </w:r>
    </w:p>
    <w:p>
      <w:pPr>
        <w:pStyle w:val="25"/>
        <w:numPr>
          <w:ilvl w:val="0"/>
          <w:numId w:val="13"/>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开采专业及辅助性活动数据：</w:t>
      </w:r>
      <w:r>
        <w:rPr>
          <w:rFonts w:hint="eastAsia"/>
          <w:color w:val="auto"/>
          <w:highlight w:val="none"/>
        </w:rPr>
        <w:t>煤炭开采和洗选专业及辅助性活动</w:t>
      </w:r>
      <w:r>
        <w:rPr>
          <w:rFonts w:hint="eastAsia" w:ascii="宋体" w:eastAsia="宋体"/>
          <w:color w:val="auto"/>
          <w:highlight w:val="none"/>
          <w:lang w:val="en-US" w:eastAsia="zh-CN"/>
        </w:rPr>
        <w:t>数据、</w:t>
      </w:r>
      <w:r>
        <w:rPr>
          <w:rFonts w:hint="eastAsia"/>
          <w:color w:val="auto"/>
          <w:highlight w:val="none"/>
        </w:rPr>
        <w:t>石油和天然气开采专业及辅助性活动</w:t>
      </w:r>
      <w:r>
        <w:rPr>
          <w:rFonts w:hint="eastAsia" w:ascii="宋体" w:eastAsia="宋体"/>
          <w:color w:val="auto"/>
          <w:highlight w:val="none"/>
          <w:lang w:val="en-US" w:eastAsia="zh-CN"/>
        </w:rPr>
        <w:t>数据。</w:t>
      </w:r>
    </w:p>
    <w:p>
      <w:pPr>
        <w:pStyle w:val="25"/>
        <w:numPr>
          <w:ilvl w:val="0"/>
          <w:numId w:val="12"/>
        </w:numPr>
        <w:tabs>
          <w:tab w:val="clear" w:pos="0"/>
        </w:tabs>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制造业数据,包括但不限于以下内容：</w:t>
      </w:r>
    </w:p>
    <w:p>
      <w:pPr>
        <w:pStyle w:val="25"/>
        <w:numPr>
          <w:ilvl w:val="0"/>
          <w:numId w:val="14"/>
        </w:numPr>
        <w:tabs>
          <w:tab w:val="clear" w:pos="0"/>
        </w:tabs>
        <w:spacing w:line="360" w:lineRule="auto"/>
        <w:ind w:left="1260" w:leftChars="0" w:hanging="420" w:firstLineChars="0"/>
        <w:rPr>
          <w:rFonts w:hint="eastAsia"/>
          <w:color w:val="auto"/>
          <w:highlight w:val="none"/>
        </w:rPr>
      </w:pPr>
      <w:r>
        <w:rPr>
          <w:rFonts w:hint="eastAsia"/>
          <w:color w:val="auto"/>
          <w:highlight w:val="none"/>
          <w:lang w:val="en-US" w:eastAsia="zh-CN"/>
        </w:rPr>
        <w:t>农副食品加工业数据</w:t>
      </w:r>
      <w:r>
        <w:rPr>
          <w:rFonts w:hint="eastAsia" w:ascii="宋体" w:eastAsia="宋体"/>
          <w:color w:val="auto"/>
          <w:highlight w:val="none"/>
          <w:lang w:val="en-US" w:eastAsia="zh-CN"/>
        </w:rPr>
        <w:t>：</w:t>
      </w:r>
      <w:r>
        <w:rPr>
          <w:rFonts w:hint="eastAsia"/>
          <w:color w:val="auto"/>
          <w:highlight w:val="none"/>
        </w:rPr>
        <w:t>稻谷加工</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小麦加工</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玉米加工</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杂粮加工</w:t>
      </w:r>
      <w:r>
        <w:rPr>
          <w:rFonts w:hint="eastAsia" w:ascii="宋体" w:eastAsia="宋体"/>
          <w:color w:val="auto"/>
          <w:highlight w:val="none"/>
          <w:lang w:val="en-US" w:eastAsia="zh-CN"/>
        </w:rPr>
        <w:t>数据、</w:t>
      </w:r>
      <w:r>
        <w:rPr>
          <w:rFonts w:hint="eastAsia"/>
          <w:color w:val="auto"/>
          <w:highlight w:val="none"/>
        </w:rPr>
        <w:t>宠物饲料加工</w:t>
      </w:r>
      <w:r>
        <w:rPr>
          <w:rFonts w:hint="eastAsia" w:ascii="宋体" w:eastAsia="宋体"/>
          <w:color w:val="auto"/>
          <w:highlight w:val="none"/>
          <w:lang w:val="en-US" w:eastAsia="zh-CN"/>
        </w:rPr>
        <w:t>数据、食用植物油加工数据、非食用植物油加工数据、制糖业数据、</w:t>
      </w:r>
      <w:r>
        <w:rPr>
          <w:rFonts w:hint="eastAsia"/>
          <w:color w:val="auto"/>
          <w:highlight w:val="none"/>
        </w:rPr>
        <w:t>牲畜屠宰</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禽类屠宰</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肉制品及副产品加工</w:t>
      </w:r>
      <w:r>
        <w:rPr>
          <w:rFonts w:hint="eastAsia" w:ascii="宋体" w:eastAsia="宋体"/>
          <w:color w:val="auto"/>
          <w:highlight w:val="none"/>
          <w:lang w:val="en-US" w:eastAsia="zh-CN"/>
        </w:rPr>
        <w:t>数据、</w:t>
      </w:r>
      <w:r>
        <w:rPr>
          <w:rFonts w:hint="eastAsia"/>
          <w:color w:val="auto"/>
          <w:highlight w:val="none"/>
        </w:rPr>
        <w:t>水产品冷冻加工</w:t>
      </w:r>
      <w:r>
        <w:rPr>
          <w:rFonts w:hint="eastAsia" w:ascii="宋体" w:eastAsia="宋体"/>
          <w:color w:val="auto"/>
          <w:highlight w:val="none"/>
          <w:lang w:val="en-US" w:eastAsia="zh-CN"/>
        </w:rPr>
        <w:t>数据、</w:t>
      </w:r>
      <w:r>
        <w:rPr>
          <w:rFonts w:hint="eastAsia"/>
          <w:color w:val="auto"/>
          <w:highlight w:val="none"/>
        </w:rPr>
        <w:t>鱼糜制品及水产品干腌制加工</w:t>
      </w:r>
      <w:r>
        <w:rPr>
          <w:rFonts w:hint="eastAsia" w:ascii="宋体" w:eastAsia="宋体"/>
          <w:color w:val="auto"/>
          <w:highlight w:val="none"/>
          <w:lang w:val="en-US" w:eastAsia="zh-CN"/>
        </w:rPr>
        <w:t>数据、</w:t>
      </w:r>
      <w:r>
        <w:rPr>
          <w:rFonts w:hint="eastAsia"/>
          <w:color w:val="auto"/>
          <w:highlight w:val="none"/>
        </w:rPr>
        <w:t>鱼油提取及制品制造</w:t>
      </w:r>
      <w:r>
        <w:rPr>
          <w:rFonts w:hint="eastAsia" w:ascii="宋体" w:eastAsia="宋体"/>
          <w:color w:val="auto"/>
          <w:highlight w:val="none"/>
          <w:lang w:val="en-US" w:eastAsia="zh-CN"/>
        </w:rPr>
        <w:t>数据、</w:t>
      </w:r>
      <w:r>
        <w:rPr>
          <w:rFonts w:hint="eastAsia"/>
          <w:color w:val="auto"/>
          <w:highlight w:val="none"/>
        </w:rPr>
        <w:t>蔬菜加工</w:t>
      </w:r>
      <w:r>
        <w:rPr>
          <w:rFonts w:hint="eastAsia" w:ascii="宋体" w:eastAsia="宋体"/>
          <w:color w:val="auto"/>
          <w:highlight w:val="none"/>
          <w:lang w:val="en-US" w:eastAsia="zh-CN"/>
        </w:rPr>
        <w:t>数据、</w:t>
      </w:r>
      <w:r>
        <w:rPr>
          <w:rFonts w:hint="eastAsia"/>
          <w:color w:val="auto"/>
          <w:highlight w:val="none"/>
        </w:rPr>
        <w:t>食用菌加工</w:t>
      </w:r>
      <w:r>
        <w:rPr>
          <w:rFonts w:hint="eastAsia" w:ascii="宋体" w:eastAsia="宋体"/>
          <w:color w:val="auto"/>
          <w:highlight w:val="none"/>
          <w:lang w:val="en-US" w:eastAsia="zh-CN"/>
        </w:rPr>
        <w:t>数据、</w:t>
      </w:r>
      <w:r>
        <w:rPr>
          <w:rFonts w:hint="eastAsia"/>
          <w:color w:val="auto"/>
          <w:highlight w:val="none"/>
        </w:rPr>
        <w:t>水果和坚果加工</w:t>
      </w:r>
      <w:r>
        <w:rPr>
          <w:rFonts w:hint="eastAsia" w:ascii="宋体" w:eastAsia="宋体"/>
          <w:color w:val="auto"/>
          <w:highlight w:val="none"/>
          <w:lang w:val="en-US" w:eastAsia="zh-CN"/>
        </w:rPr>
        <w:t>数据、</w:t>
      </w:r>
      <w:r>
        <w:rPr>
          <w:rFonts w:hint="eastAsia"/>
          <w:color w:val="auto"/>
          <w:highlight w:val="none"/>
        </w:rPr>
        <w:t>淀粉及淀粉制品制造</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豆制品制造</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蛋品加工</w:t>
      </w:r>
      <w:r>
        <w:rPr>
          <w:rFonts w:hint="eastAsia" w:ascii="宋体" w:eastAsia="宋体"/>
          <w:color w:val="auto"/>
          <w:highlight w:val="none"/>
          <w:lang w:val="en-US" w:eastAsia="zh-CN"/>
        </w:rPr>
        <w:t>数据</w:t>
      </w:r>
      <w:r>
        <w:rPr>
          <w:rFonts w:hint="eastAsia"/>
          <w:color w:val="auto"/>
          <w:highlight w:val="none"/>
          <w:lang w:val="en-US" w:eastAsia="zh-CN"/>
        </w:rPr>
        <w:t>；</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食品制造业数据</w:t>
      </w:r>
      <w:r>
        <w:rPr>
          <w:rFonts w:hint="eastAsia" w:ascii="宋体" w:eastAsia="宋体"/>
          <w:color w:val="auto"/>
          <w:highlight w:val="none"/>
          <w:lang w:val="en-US" w:eastAsia="zh-CN"/>
        </w:rPr>
        <w:t>：</w:t>
      </w:r>
      <w:r>
        <w:rPr>
          <w:rFonts w:hint="eastAsia"/>
          <w:color w:val="auto"/>
          <w:highlight w:val="none"/>
        </w:rPr>
        <w:t>糕点</w:t>
      </w:r>
      <w:r>
        <w:rPr>
          <w:rFonts w:hint="eastAsia" w:ascii="宋体" w:eastAsia="宋体"/>
          <w:color w:val="auto"/>
          <w:highlight w:val="none"/>
          <w:lang w:val="en-US" w:eastAsia="zh-CN"/>
        </w:rPr>
        <w:t>/</w:t>
      </w:r>
      <w:r>
        <w:rPr>
          <w:rFonts w:hint="eastAsia"/>
          <w:color w:val="auto"/>
          <w:highlight w:val="none"/>
        </w:rPr>
        <w:t>面包</w:t>
      </w:r>
      <w:r>
        <w:rPr>
          <w:rFonts w:hint="eastAsia" w:ascii="宋体" w:eastAsia="宋体"/>
          <w:color w:val="auto"/>
          <w:highlight w:val="none"/>
          <w:lang w:val="en-US" w:eastAsia="zh-CN"/>
        </w:rPr>
        <w:t>/饼干</w:t>
      </w:r>
      <w:r>
        <w:rPr>
          <w:rFonts w:hint="eastAsia"/>
          <w:color w:val="auto"/>
          <w:highlight w:val="none"/>
        </w:rPr>
        <w:t>制造</w:t>
      </w:r>
      <w:r>
        <w:rPr>
          <w:rFonts w:hint="eastAsia" w:ascii="宋体" w:eastAsia="宋体"/>
          <w:color w:val="auto"/>
          <w:highlight w:val="none"/>
          <w:lang w:val="en-US" w:eastAsia="zh-CN"/>
        </w:rPr>
        <w:t>数据、糖果/巧克力制造数据、蜜饯制造数据、米/面制造数据、速冻食品制造数据、方便面制造数据、液体乳制造数据、乳粉制造数据、肉/禽类罐头制造数据、水产品罐头制造数据、蔬菜/水果罐头制造数据、味精制造数据、酱油制造数据、食醋制造数据、发酵制品制造数据、营养食品制造数据、保健食品制造数据、冷冻饮品制造数据、食用冰制造数据、盐加工数据、食品及饲料添加剂制造数据</w:t>
      </w:r>
      <w:r>
        <w:rPr>
          <w:rFonts w:hint="eastAsia"/>
          <w:color w:val="auto"/>
          <w:highlight w:val="none"/>
          <w:lang w:val="en-US" w:eastAsia="zh-CN"/>
        </w:rPr>
        <w:t>；</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酒/饮料和精制茶制造业数据</w:t>
      </w:r>
      <w:r>
        <w:rPr>
          <w:rFonts w:hint="eastAsia" w:ascii="宋体" w:eastAsia="宋体"/>
          <w:color w:val="auto"/>
          <w:highlight w:val="none"/>
          <w:lang w:val="en-US" w:eastAsia="zh-CN"/>
        </w:rPr>
        <w:t>：酒精制造数据、白酒制造数据、啤酒制造数据、黄酒制造数据、葡萄酒制造数据、碳酸饮料制造数据、</w:t>
      </w:r>
      <w:r>
        <w:rPr>
          <w:rFonts w:hint="eastAsia"/>
          <w:color w:val="auto"/>
          <w:highlight w:val="none"/>
        </w:rPr>
        <w:t>瓶（罐）装饮用水制造</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果菜汁及果菜汁饮料制造</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含乳饮料和植物蛋白饮料制造</w:t>
      </w:r>
      <w:r>
        <w:rPr>
          <w:rFonts w:hint="eastAsia" w:ascii="宋体" w:eastAsia="宋体"/>
          <w:color w:val="auto"/>
          <w:highlight w:val="none"/>
          <w:lang w:val="en-US" w:eastAsia="zh-CN"/>
        </w:rPr>
        <w:t>数据、</w:t>
      </w:r>
      <w:r>
        <w:rPr>
          <w:rFonts w:hint="eastAsia"/>
          <w:color w:val="auto"/>
          <w:highlight w:val="none"/>
        </w:rPr>
        <w:t>固体饮料制造</w:t>
      </w:r>
      <w:r>
        <w:rPr>
          <w:rFonts w:hint="eastAsia" w:ascii="宋体" w:eastAsia="宋体"/>
          <w:color w:val="auto"/>
          <w:highlight w:val="none"/>
          <w:lang w:eastAsia="zh-CN"/>
        </w:rPr>
        <w:t>、</w:t>
      </w:r>
      <w:r>
        <w:rPr>
          <w:rFonts w:hint="eastAsia" w:ascii="宋体" w:eastAsia="宋体"/>
          <w:color w:val="auto"/>
          <w:highlight w:val="none"/>
          <w:lang w:val="en-US" w:eastAsia="zh-CN"/>
        </w:rPr>
        <w:t>茶饮料制造数据、精制茶加工数据</w:t>
      </w:r>
      <w:r>
        <w:rPr>
          <w:rFonts w:hint="eastAsia"/>
          <w:color w:val="auto"/>
          <w:highlight w:val="none"/>
          <w:lang w:val="en-US" w:eastAsia="zh-CN"/>
        </w:rPr>
        <w:t>；</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烟草制品业数据</w:t>
      </w:r>
      <w:r>
        <w:rPr>
          <w:rFonts w:hint="eastAsia" w:ascii="宋体" w:eastAsia="宋体"/>
          <w:color w:val="auto"/>
          <w:highlight w:val="none"/>
          <w:lang w:val="en-US" w:eastAsia="zh-CN"/>
        </w:rPr>
        <w:t>：烟草复烤数据、卷烟制造数据</w:t>
      </w:r>
      <w:r>
        <w:rPr>
          <w:rFonts w:hint="eastAsia"/>
          <w:color w:val="auto"/>
          <w:highlight w:val="none"/>
          <w:lang w:val="en-US" w:eastAsia="zh-CN"/>
        </w:rPr>
        <w:t>；</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纺织业数据</w:t>
      </w:r>
      <w:r>
        <w:rPr>
          <w:rFonts w:hint="eastAsia" w:ascii="宋体" w:eastAsia="宋体"/>
          <w:color w:val="auto"/>
          <w:highlight w:val="none"/>
          <w:lang w:val="en-US" w:eastAsia="zh-CN"/>
        </w:rPr>
        <w:t>：棉纺纱加工数据、</w:t>
      </w:r>
      <w:r>
        <w:rPr>
          <w:rFonts w:hint="eastAsia" w:ascii="宋体" w:hAnsi="Times New Roman" w:eastAsia="宋体" w:cs="Times New Roman"/>
          <w:color w:val="auto"/>
          <w:sz w:val="21"/>
          <w:szCs w:val="20"/>
          <w:highlight w:val="none"/>
        </w:rPr>
        <w:t>棉织造加工</w:t>
      </w:r>
      <w:r>
        <w:rPr>
          <w:rFonts w:hint="eastAsia" w:ascii="宋体" w:hAnsi="Times New Roman" w:eastAsia="宋体" w:cs="Times New Roman"/>
          <w:color w:val="auto"/>
          <w:sz w:val="21"/>
          <w:szCs w:val="20"/>
          <w:highlight w:val="none"/>
          <w:lang w:val="en-US" w:eastAsia="zh-CN"/>
        </w:rPr>
        <w:t>数据</w:t>
      </w:r>
      <w:r>
        <w:rPr>
          <w:rFonts w:hint="eastAsia" w:ascii="宋体" w:hAnsi="Times New Roman" w:eastAsia="宋体" w:cs="Times New Roman"/>
          <w:color w:val="auto"/>
          <w:sz w:val="21"/>
          <w:szCs w:val="20"/>
          <w:highlight w:val="none"/>
          <w:lang w:eastAsia="zh-CN"/>
        </w:rPr>
        <w:t>、</w:t>
      </w:r>
      <w:r>
        <w:rPr>
          <w:rFonts w:hint="eastAsia" w:ascii="宋体" w:hAnsi="Times New Roman" w:eastAsia="宋体" w:cs="Times New Roman"/>
          <w:color w:val="auto"/>
          <w:sz w:val="21"/>
          <w:szCs w:val="20"/>
          <w:highlight w:val="none"/>
        </w:rPr>
        <w:t>棉印染精加工</w:t>
      </w:r>
      <w:r>
        <w:rPr>
          <w:rFonts w:hint="eastAsia" w:ascii="宋体" w:hAnsi="Times New Roman" w:eastAsia="宋体" w:cs="Times New Roman"/>
          <w:color w:val="auto"/>
          <w:sz w:val="21"/>
          <w:szCs w:val="20"/>
          <w:highlight w:val="none"/>
          <w:lang w:val="en-US" w:eastAsia="zh-CN"/>
        </w:rPr>
        <w:t>数据</w:t>
      </w:r>
      <w:r>
        <w:rPr>
          <w:rFonts w:hint="eastAsia" w:ascii="宋体" w:eastAsia="宋体" w:cs="Times New Roman"/>
          <w:color w:val="auto"/>
          <w:sz w:val="21"/>
          <w:szCs w:val="20"/>
          <w:highlight w:val="none"/>
          <w:lang w:val="en-US" w:eastAsia="zh-CN"/>
        </w:rPr>
        <w:t>、</w:t>
      </w:r>
      <w:r>
        <w:rPr>
          <w:rFonts w:hint="eastAsia" w:ascii="宋体" w:hAnsi="Times New Roman" w:eastAsia="宋体" w:cs="Times New Roman"/>
          <w:color w:val="auto"/>
          <w:sz w:val="21"/>
          <w:szCs w:val="20"/>
          <w:highlight w:val="none"/>
        </w:rPr>
        <w:t>毛条和毛纱线加工</w:t>
      </w:r>
      <w:r>
        <w:rPr>
          <w:rFonts w:hint="eastAsia" w:ascii="宋体" w:eastAsia="宋体" w:cs="Times New Roman"/>
          <w:color w:val="auto"/>
          <w:sz w:val="21"/>
          <w:szCs w:val="20"/>
          <w:highlight w:val="none"/>
          <w:lang w:val="en-US" w:eastAsia="zh-CN"/>
        </w:rPr>
        <w:t>数据</w:t>
      </w:r>
      <w:r>
        <w:rPr>
          <w:rFonts w:hint="eastAsia" w:ascii="宋体" w:hAnsi="Times New Roman" w:eastAsia="宋体" w:cs="Times New Roman"/>
          <w:color w:val="auto"/>
          <w:sz w:val="21"/>
          <w:szCs w:val="20"/>
          <w:highlight w:val="none"/>
          <w:lang w:eastAsia="zh-CN"/>
        </w:rPr>
        <w:t>、</w:t>
      </w:r>
      <w:r>
        <w:rPr>
          <w:rFonts w:hint="eastAsia" w:ascii="宋体" w:hAnsi="Times New Roman" w:eastAsia="宋体" w:cs="Times New Roman"/>
          <w:color w:val="auto"/>
          <w:sz w:val="21"/>
          <w:szCs w:val="20"/>
          <w:highlight w:val="none"/>
        </w:rPr>
        <w:t>毛织造加工</w:t>
      </w:r>
      <w:r>
        <w:rPr>
          <w:rFonts w:hint="eastAsia" w:ascii="宋体" w:eastAsia="宋体" w:cs="Times New Roman"/>
          <w:color w:val="auto"/>
          <w:sz w:val="21"/>
          <w:szCs w:val="20"/>
          <w:highlight w:val="none"/>
          <w:lang w:val="en-US" w:eastAsia="zh-CN"/>
        </w:rPr>
        <w:t>数据</w:t>
      </w:r>
      <w:r>
        <w:rPr>
          <w:rFonts w:hint="eastAsia" w:ascii="宋体" w:hAnsi="Times New Roman" w:eastAsia="宋体" w:cs="Times New Roman"/>
          <w:color w:val="auto"/>
          <w:sz w:val="21"/>
          <w:szCs w:val="20"/>
          <w:highlight w:val="none"/>
          <w:lang w:eastAsia="zh-CN"/>
        </w:rPr>
        <w:t>、</w:t>
      </w:r>
      <w:r>
        <w:rPr>
          <w:rFonts w:hint="eastAsia" w:ascii="宋体" w:hAnsi="Times New Roman" w:eastAsia="宋体" w:cs="Times New Roman"/>
          <w:color w:val="auto"/>
          <w:sz w:val="21"/>
          <w:szCs w:val="20"/>
          <w:highlight w:val="none"/>
        </w:rPr>
        <w:t>毛染整精加工</w:t>
      </w:r>
      <w:r>
        <w:rPr>
          <w:rFonts w:hint="eastAsia" w:ascii="宋体" w:eastAsia="宋体" w:cs="Times New Roman"/>
          <w:color w:val="auto"/>
          <w:sz w:val="21"/>
          <w:szCs w:val="20"/>
          <w:highlight w:val="none"/>
          <w:lang w:val="en-US" w:eastAsia="zh-CN"/>
        </w:rPr>
        <w:t>数据</w:t>
      </w:r>
      <w:r>
        <w:rPr>
          <w:rFonts w:hint="eastAsia" w:ascii="宋体" w:eastAsia="宋体" w:cs="Times New Roman"/>
          <w:color w:val="auto"/>
          <w:sz w:val="21"/>
          <w:szCs w:val="20"/>
          <w:highlight w:val="none"/>
          <w:lang w:eastAsia="zh-CN"/>
        </w:rPr>
        <w:t>、</w:t>
      </w:r>
      <w:r>
        <w:rPr>
          <w:rFonts w:hint="eastAsia"/>
          <w:color w:val="auto"/>
          <w:highlight w:val="none"/>
        </w:rPr>
        <w:t>麻纤维纺前加工和纺纱</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麻织造加工</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麻染整精加工</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color w:val="auto"/>
          <w:highlight w:val="none"/>
        </w:rPr>
        <w:t>缫丝加工</w:t>
      </w:r>
      <w:r>
        <w:rPr>
          <w:rFonts w:hint="eastAsia" w:ascii="宋体" w:eastAsia="宋体"/>
          <w:color w:val="auto"/>
          <w:highlight w:val="none"/>
          <w:lang w:val="en-US" w:eastAsia="zh-CN"/>
        </w:rPr>
        <w:t>数据</w:t>
      </w:r>
      <w:r>
        <w:rPr>
          <w:rFonts w:hint="eastAsia" w:ascii="宋体" w:eastAsia="宋体"/>
          <w:color w:val="auto"/>
          <w:highlight w:val="none"/>
          <w:lang w:eastAsia="zh-CN"/>
        </w:rPr>
        <w:t>、</w:t>
      </w:r>
      <w:r>
        <w:rPr>
          <w:rFonts w:hint="eastAsia" w:ascii="宋体" w:hAnsi="Times New Roman" w:eastAsia="宋体" w:cs="Times New Roman"/>
          <w:color w:val="auto"/>
          <w:sz w:val="21"/>
          <w:szCs w:val="20"/>
          <w:highlight w:val="none"/>
        </w:rPr>
        <w:t>绢纺和丝织加工</w:t>
      </w:r>
      <w:r>
        <w:rPr>
          <w:rFonts w:hint="eastAsia" w:ascii="宋体" w:hAnsi="Times New Roman" w:eastAsia="宋体" w:cs="Times New Roman"/>
          <w:color w:val="auto"/>
          <w:sz w:val="21"/>
          <w:szCs w:val="20"/>
          <w:highlight w:val="none"/>
          <w:lang w:val="en-US" w:eastAsia="zh-CN"/>
        </w:rPr>
        <w:t>数据</w:t>
      </w:r>
      <w:r>
        <w:rPr>
          <w:rFonts w:hint="eastAsia" w:ascii="宋体" w:hAnsi="Times New Roman" w:eastAsia="宋体" w:cs="Times New Roman"/>
          <w:color w:val="auto"/>
          <w:sz w:val="21"/>
          <w:szCs w:val="20"/>
          <w:highlight w:val="none"/>
          <w:lang w:eastAsia="zh-CN"/>
        </w:rPr>
        <w:t>、</w:t>
      </w:r>
      <w:r>
        <w:rPr>
          <w:rFonts w:hint="eastAsia" w:ascii="宋体" w:hAnsi="Times New Roman" w:eastAsia="宋体" w:cs="Times New Roman"/>
          <w:color w:val="auto"/>
          <w:sz w:val="21"/>
          <w:szCs w:val="20"/>
          <w:highlight w:val="none"/>
        </w:rPr>
        <w:t>丝印染精加工</w:t>
      </w:r>
      <w:r>
        <w:rPr>
          <w:rFonts w:hint="eastAsia" w:ascii="宋体" w:hAnsi="Times New Roman" w:eastAsia="宋体" w:cs="Times New Roman"/>
          <w:color w:val="auto"/>
          <w:sz w:val="21"/>
          <w:szCs w:val="20"/>
          <w:highlight w:val="none"/>
          <w:lang w:val="en-US" w:eastAsia="zh-CN"/>
        </w:rPr>
        <w:t>数据</w:t>
      </w:r>
      <w:r>
        <w:rPr>
          <w:rFonts w:hint="eastAsia" w:ascii="宋体" w:eastAsia="宋体" w:cs="Times New Roman"/>
          <w:color w:val="auto"/>
          <w:sz w:val="21"/>
          <w:szCs w:val="20"/>
          <w:highlight w:val="none"/>
          <w:lang w:val="en-US" w:eastAsia="zh-CN"/>
        </w:rPr>
        <w:t>、</w:t>
      </w:r>
      <w:r>
        <w:rPr>
          <w:rFonts w:hint="eastAsia"/>
          <w:color w:val="auto"/>
          <w:highlight w:val="none"/>
        </w:rPr>
        <w:t>化纤织造加工</w:t>
      </w:r>
      <w:r>
        <w:rPr>
          <w:rFonts w:hint="eastAsia" w:ascii="宋体" w:eastAsia="宋体"/>
          <w:color w:val="auto"/>
          <w:highlight w:val="none"/>
          <w:lang w:val="en-US" w:eastAsia="zh-CN"/>
        </w:rPr>
        <w:t>数据、</w:t>
      </w:r>
      <w:r>
        <w:rPr>
          <w:rFonts w:hint="eastAsia"/>
          <w:color w:val="auto"/>
          <w:highlight w:val="none"/>
        </w:rPr>
        <w:t>化纤织物染整精加工</w:t>
      </w:r>
      <w:r>
        <w:rPr>
          <w:rFonts w:hint="eastAsia" w:ascii="宋体" w:eastAsia="宋体"/>
          <w:color w:val="auto"/>
          <w:highlight w:val="none"/>
          <w:lang w:val="en-US" w:eastAsia="zh-CN"/>
        </w:rPr>
        <w:t>数据、</w:t>
      </w:r>
      <w:r>
        <w:rPr>
          <w:rFonts w:hint="eastAsia" w:ascii="宋体" w:hAnsi="Times New Roman" w:eastAsia="宋体" w:cs="Times New Roman"/>
          <w:color w:val="auto"/>
          <w:sz w:val="21"/>
          <w:szCs w:val="20"/>
          <w:highlight w:val="none"/>
        </w:rPr>
        <w:t>针织或钩针编织物织造</w:t>
      </w:r>
      <w:r>
        <w:rPr>
          <w:rFonts w:hint="eastAsia" w:ascii="宋体" w:hAnsi="Times New Roman" w:eastAsia="宋体" w:cs="Times New Roman"/>
          <w:color w:val="auto"/>
          <w:sz w:val="21"/>
          <w:szCs w:val="20"/>
          <w:highlight w:val="none"/>
          <w:lang w:val="en-US" w:eastAsia="zh-CN"/>
        </w:rPr>
        <w:t>数据</w:t>
      </w:r>
      <w:r>
        <w:rPr>
          <w:rFonts w:hint="eastAsia" w:ascii="宋体" w:hAnsi="Times New Roman" w:eastAsia="宋体" w:cs="Times New Roman"/>
          <w:color w:val="auto"/>
          <w:sz w:val="21"/>
          <w:szCs w:val="20"/>
          <w:highlight w:val="none"/>
          <w:lang w:eastAsia="zh-CN"/>
        </w:rPr>
        <w:t>、</w:t>
      </w:r>
      <w:r>
        <w:rPr>
          <w:rFonts w:hint="eastAsia" w:ascii="宋体" w:hAnsi="Times New Roman" w:eastAsia="宋体" w:cs="Times New Roman"/>
          <w:color w:val="auto"/>
          <w:sz w:val="21"/>
          <w:szCs w:val="20"/>
          <w:highlight w:val="none"/>
        </w:rPr>
        <w:t>针织或钩针编织物印染精加工</w:t>
      </w:r>
      <w:r>
        <w:rPr>
          <w:rFonts w:hint="eastAsia" w:ascii="宋体" w:hAnsi="Times New Roman" w:eastAsia="宋体" w:cs="Times New Roman"/>
          <w:color w:val="auto"/>
          <w:sz w:val="21"/>
          <w:szCs w:val="20"/>
          <w:highlight w:val="none"/>
          <w:lang w:val="en-US" w:eastAsia="zh-CN"/>
        </w:rPr>
        <w:t>数据</w:t>
      </w:r>
      <w:r>
        <w:rPr>
          <w:rFonts w:hint="eastAsia" w:ascii="宋体" w:hAnsi="Times New Roman" w:eastAsia="宋体" w:cs="Times New Roman"/>
          <w:color w:val="auto"/>
          <w:sz w:val="21"/>
          <w:szCs w:val="20"/>
          <w:highlight w:val="none"/>
          <w:lang w:eastAsia="zh-CN"/>
        </w:rPr>
        <w:t>、</w:t>
      </w:r>
      <w:r>
        <w:rPr>
          <w:rFonts w:hint="eastAsia" w:ascii="宋体" w:hAnsi="Times New Roman" w:eastAsia="宋体" w:cs="Times New Roman"/>
          <w:color w:val="auto"/>
          <w:sz w:val="21"/>
          <w:szCs w:val="20"/>
          <w:highlight w:val="none"/>
        </w:rPr>
        <w:t>针织或钩针编织品制造</w:t>
      </w:r>
      <w:r>
        <w:rPr>
          <w:rFonts w:hint="eastAsia" w:ascii="宋体" w:hAnsi="Times New Roman" w:eastAsia="宋体" w:cs="Times New Roman"/>
          <w:color w:val="auto"/>
          <w:sz w:val="21"/>
          <w:szCs w:val="20"/>
          <w:highlight w:val="none"/>
          <w:lang w:val="en-US" w:eastAsia="zh-CN"/>
        </w:rPr>
        <w:t>数据</w:t>
      </w:r>
      <w:r>
        <w:rPr>
          <w:rFonts w:hint="eastAsia" w:ascii="宋体" w:eastAsia="宋体" w:cs="Times New Roman"/>
          <w:color w:val="auto"/>
          <w:sz w:val="21"/>
          <w:szCs w:val="20"/>
          <w:highlight w:val="none"/>
          <w:lang w:val="en-US" w:eastAsia="zh-CN"/>
        </w:rPr>
        <w:t>、床上用品制造数据、毛巾类制品制造数据、窗帘/布艺类产品制造数据、非织造布制造数据、绳/索/缆制造数据、纺织带和帘子布制造数据、篷/帆布制造数据</w:t>
      </w:r>
      <w:r>
        <w:rPr>
          <w:rFonts w:hint="eastAsia" w:cs="Times New Roman"/>
          <w:color w:val="auto"/>
          <w:sz w:val="21"/>
          <w:szCs w:val="20"/>
          <w:highlight w:val="none"/>
          <w:lang w:val="en-US" w:eastAsia="zh-CN"/>
        </w:rPr>
        <w:t>；</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纺织服装/服饰业数据</w:t>
      </w:r>
      <w:r>
        <w:rPr>
          <w:rFonts w:hint="eastAsia" w:ascii="宋体" w:eastAsia="宋体"/>
          <w:color w:val="auto"/>
          <w:highlight w:val="none"/>
          <w:lang w:val="en-US" w:eastAsia="zh-CN"/>
        </w:rPr>
        <w:t>：运动机织服装制造数据、运动休闲针织服装制造数据、服饰制造数据</w:t>
      </w:r>
      <w:r>
        <w:rPr>
          <w:rFonts w:hint="eastAsia"/>
          <w:color w:val="auto"/>
          <w:highlight w:val="none"/>
          <w:lang w:val="en-US" w:eastAsia="zh-CN"/>
        </w:rPr>
        <w:t>；</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皮革/毛皮/羽毛以及其他制品和制鞋业数据</w:t>
      </w:r>
      <w:r>
        <w:rPr>
          <w:rFonts w:hint="eastAsia" w:ascii="宋体" w:eastAsia="宋体"/>
          <w:color w:val="auto"/>
          <w:highlight w:val="none"/>
          <w:lang w:val="en-US" w:eastAsia="zh-CN"/>
        </w:rPr>
        <w:t>：皮革服装制造数据、皮箱/包（袋）制造数据、皮手套及皮装饰制品制造数据、毛皮鞣制加工数据、毛皮服装加工数据、羽毛（绒）加工数据、羽毛（绒）制品加工数据、纺织面料鞋制造数据、皮鞋制造数据数据、塑料鞋制造数据、橡胶鞋制造数据</w:t>
      </w:r>
      <w:r>
        <w:rPr>
          <w:rFonts w:hint="eastAsia"/>
          <w:color w:val="auto"/>
          <w:highlight w:val="none"/>
          <w:lang w:val="en-US" w:eastAsia="zh-CN"/>
        </w:rPr>
        <w:t>；</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木材加工和木/竹/藤/棕/草制品业数据</w:t>
      </w:r>
      <w:r>
        <w:rPr>
          <w:rFonts w:hint="eastAsia" w:ascii="宋体" w:eastAsia="宋体"/>
          <w:color w:val="auto"/>
          <w:highlight w:val="none"/>
          <w:lang w:val="en-US" w:eastAsia="zh-CN"/>
        </w:rPr>
        <w:t>：锯材加工数据、木片加工数据、单板加工数据、人造板制造数据、胶合板制造数据、纤维板制造数据、刨花板制造数据、建筑用木料及木材组件加工数据、木门窗制造数据、木楼梯制造数据、木地板制造数据、木制容器制造数据、软木制品及其他木制品制造数据、竹制品制造数据、藤制品制造数据、棕制品制造数据、草及其他制品制造数据</w:t>
      </w:r>
      <w:r>
        <w:rPr>
          <w:rFonts w:hint="eastAsia"/>
          <w:color w:val="auto"/>
          <w:highlight w:val="none"/>
          <w:lang w:val="en-US" w:eastAsia="zh-CN"/>
        </w:rPr>
        <w:t>；</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家具制造业数据</w:t>
      </w:r>
      <w:r>
        <w:rPr>
          <w:rFonts w:hint="eastAsia" w:ascii="宋体" w:eastAsia="宋体"/>
          <w:color w:val="auto"/>
          <w:highlight w:val="none"/>
          <w:lang w:val="en-US" w:eastAsia="zh-CN"/>
        </w:rPr>
        <w:t>：木质家具制造数据、竹/藤家具制造数据、金属家具制造数据、塑料家具制造数据</w:t>
      </w:r>
      <w:r>
        <w:rPr>
          <w:rFonts w:hint="eastAsia"/>
          <w:color w:val="auto"/>
          <w:highlight w:val="none"/>
          <w:lang w:val="en-US" w:eastAsia="zh-CN"/>
        </w:rPr>
        <w:t>；</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造纸和纸品业数据</w:t>
      </w:r>
      <w:r>
        <w:rPr>
          <w:rFonts w:hint="eastAsia" w:ascii="宋体" w:eastAsia="宋体"/>
          <w:color w:val="auto"/>
          <w:highlight w:val="none"/>
          <w:lang w:val="en-US" w:eastAsia="zh-CN"/>
        </w:rPr>
        <w:t>：木竹浆制造数据、非木竹浆制造数据、机制纸及纸板制造数据、手工纸制造数据、加工纸制造数据、纸和纸板容器制造数据</w:t>
      </w:r>
      <w:r>
        <w:rPr>
          <w:rFonts w:hint="eastAsia"/>
          <w:color w:val="auto"/>
          <w:highlight w:val="none"/>
          <w:lang w:val="en-US" w:eastAsia="zh-CN"/>
        </w:rPr>
        <w:t>；</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印刷和记录媒介复制业数据</w:t>
      </w:r>
      <w:r>
        <w:rPr>
          <w:rFonts w:hint="eastAsia" w:ascii="宋体" w:eastAsia="宋体"/>
          <w:color w:val="auto"/>
          <w:highlight w:val="none"/>
          <w:lang w:val="en-US" w:eastAsia="zh-CN"/>
        </w:rPr>
        <w:t>：书/报刊印刷数据、本册印制数据、包装装潢及其他印刷数据、装订及印刷相关服务数据、记录媒介复制数据</w:t>
      </w:r>
      <w:r>
        <w:rPr>
          <w:rFonts w:hint="eastAsia"/>
          <w:color w:val="auto"/>
          <w:highlight w:val="none"/>
          <w:lang w:val="en-US" w:eastAsia="zh-CN"/>
        </w:rPr>
        <w:t>；</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文教/美工/体育和娱乐用品制造业数据</w:t>
      </w:r>
      <w:r>
        <w:rPr>
          <w:rFonts w:hint="eastAsia" w:ascii="宋体" w:eastAsia="宋体"/>
          <w:color w:val="auto"/>
          <w:highlight w:val="none"/>
          <w:lang w:val="en-US" w:eastAsia="zh-CN"/>
        </w:rPr>
        <w:t>：</w:t>
      </w:r>
      <w:r>
        <w:rPr>
          <w:rFonts w:hint="eastAsia"/>
          <w:color w:val="auto"/>
          <w:highlight w:val="none"/>
          <w:lang w:val="en-US" w:eastAsia="zh-CN"/>
        </w:rPr>
        <w:t>文教办公用品制造数据、文具制造数据、笔的制造数据、教学用模型及教具制造数据、墨水/墨汁制造数据、中乐器制造数据、西乐器制造数据、电子乐器制造数据、雕塑工艺品制造数据、金属工艺品制造数据、漆器工艺品制造数据、花画工艺品制造数据、天然职务纤维编织工艺品制造数据、抽纱刺绣工艺品制造数据、地毯/挂毯制造数据、珠宝首饰及有关物品制造数据、球类制造数据、健身器材制造数据、运动防护用具制造数据、其他体育用品制造数据、电玩具制造数据、塑胶玩具制造数据、金属玩具制造数据、弹射玩具制造数据、娃娃玩具制造数据、儿童乘骑玩耍的童车类产品制造数据、露天游乐场所游乐设备制造数据、游艺用品及室内游艺器材制造数据。煤制合成气生产数据、煤制液体燃料生产数据、煤制品制造数据、核燃料加工数据；</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石油/煤炭以及其他燃料加工业数据</w:t>
      </w:r>
      <w:r>
        <w:rPr>
          <w:rFonts w:hint="eastAsia" w:ascii="宋体" w:eastAsia="宋体"/>
          <w:color w:val="auto"/>
          <w:highlight w:val="none"/>
          <w:lang w:val="en-US" w:eastAsia="zh-CN"/>
        </w:rPr>
        <w:t>：</w:t>
      </w:r>
      <w:r>
        <w:rPr>
          <w:rFonts w:hint="eastAsia"/>
          <w:color w:val="auto"/>
          <w:highlight w:val="none"/>
          <w:lang w:val="en-US" w:eastAsia="zh-CN"/>
        </w:rPr>
        <w:t>原油加工及石油制品制造数据、炼焦数据、生物质液体燃料生产数据、生物质致密成型燃料加工数据；</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化学原料和化学制品制造业数据</w:t>
      </w:r>
      <w:r>
        <w:rPr>
          <w:rFonts w:hint="eastAsia" w:ascii="宋体" w:eastAsia="宋体"/>
          <w:color w:val="auto"/>
          <w:highlight w:val="none"/>
          <w:lang w:val="en-US" w:eastAsia="zh-CN"/>
        </w:rPr>
        <w:t>：无机酸制造</w:t>
      </w:r>
      <w:r>
        <w:rPr>
          <w:rFonts w:hint="eastAsia"/>
          <w:color w:val="auto"/>
          <w:highlight w:val="none"/>
          <w:lang w:val="en-US" w:eastAsia="zh-CN"/>
        </w:rPr>
        <w:t>数据、</w:t>
      </w:r>
      <w:r>
        <w:rPr>
          <w:rFonts w:hint="eastAsia" w:ascii="宋体" w:eastAsia="宋体"/>
          <w:color w:val="auto"/>
          <w:highlight w:val="none"/>
          <w:lang w:val="en-US" w:eastAsia="zh-CN"/>
        </w:rPr>
        <w:t>无机碱制造</w:t>
      </w:r>
      <w:r>
        <w:rPr>
          <w:rFonts w:hint="eastAsia"/>
          <w:color w:val="auto"/>
          <w:highlight w:val="none"/>
          <w:lang w:val="en-US" w:eastAsia="zh-CN"/>
        </w:rPr>
        <w:t>数据、</w:t>
      </w:r>
      <w:r>
        <w:rPr>
          <w:rFonts w:hint="eastAsia" w:ascii="宋体" w:eastAsia="宋体"/>
          <w:color w:val="auto"/>
          <w:highlight w:val="none"/>
          <w:lang w:val="en-US" w:eastAsia="zh-CN"/>
        </w:rPr>
        <w:t>无机盐制造</w:t>
      </w:r>
      <w:r>
        <w:rPr>
          <w:rFonts w:hint="eastAsia"/>
          <w:color w:val="auto"/>
          <w:highlight w:val="none"/>
          <w:lang w:val="en-US" w:eastAsia="zh-CN"/>
        </w:rPr>
        <w:t>数据、</w:t>
      </w:r>
      <w:r>
        <w:rPr>
          <w:rFonts w:hint="eastAsia" w:ascii="宋体" w:eastAsia="宋体"/>
          <w:color w:val="auto"/>
          <w:highlight w:val="none"/>
          <w:lang w:val="en-US" w:eastAsia="zh-CN"/>
        </w:rPr>
        <w:t>有机化学原料制造</w:t>
      </w:r>
      <w:r>
        <w:rPr>
          <w:rFonts w:hint="eastAsia"/>
          <w:color w:val="auto"/>
          <w:highlight w:val="none"/>
          <w:lang w:val="en-US" w:eastAsia="zh-CN"/>
        </w:rPr>
        <w:t>数据、氮肥制造数据、磷肥制造数据、钾肥制造数据、复混肥料制造数据、有机肥料及微生物肥料制造数据、化学农药制造数据、生物化学农药及微生物农药制造数据、油墨及类似产品制造数据、工业颜料制造数据、工艺美术颜料制造数据、染料制造数据、密封用填料及类似品制造数据、初级形态塑料及合成树脂制造数据、合成橡胶制造数据、合成纤维单(聚合)体制造数据、化学试剂和助剂制造数据、专项化学用品制造数据、林产化学产品制造数据、文化用信息化学品制造数据、医学生产用信息化学品制造数据、环境污染处理专用药剂材料制造数据、动物胶制造数据、炸药及火工产品制造数据、焰火/鞭炮产品制造数据、肥皂及洗涤剂制造数据、化妆品制造数据、口腔清洁用品制造数据、香料/香精制造数据；</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医药制造业数据</w:t>
      </w:r>
      <w:r>
        <w:rPr>
          <w:rFonts w:hint="eastAsia" w:ascii="宋体" w:eastAsia="宋体"/>
          <w:color w:val="auto"/>
          <w:highlight w:val="none"/>
          <w:lang w:val="en-US" w:eastAsia="zh-CN"/>
        </w:rPr>
        <w:t>：</w:t>
      </w:r>
      <w:r>
        <w:rPr>
          <w:rFonts w:hint="eastAsia"/>
          <w:color w:val="auto"/>
          <w:highlight w:val="none"/>
          <w:lang w:val="en-US" w:eastAsia="zh-CN"/>
        </w:rPr>
        <w:t>化学药品原料药制造数据、化学药品制剂制造数据、中药饮片加工数据、中成药生产数据、兽用药品制造数据、生物药品制造数据、基因工程药物和疫苗制造数据、卫生材料及医药用品制造数据、药用辅料及包装材料数据；</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化学纤维制造业数据</w:t>
      </w:r>
      <w:r>
        <w:rPr>
          <w:rFonts w:hint="eastAsia" w:ascii="宋体" w:eastAsia="宋体"/>
          <w:color w:val="auto"/>
          <w:highlight w:val="none"/>
          <w:lang w:val="en-US" w:eastAsia="zh-CN"/>
        </w:rPr>
        <w:t>：</w:t>
      </w:r>
      <w:r>
        <w:rPr>
          <w:rFonts w:hint="eastAsia"/>
          <w:color w:val="auto"/>
          <w:highlight w:val="none"/>
          <w:lang w:val="en-US" w:eastAsia="zh-CN"/>
        </w:rPr>
        <w:t>化纤浆粕制造数据、人造纤维(纤维素纤维)制造数据、锦纶纤维制造数据、涤纶纤维制造数据、睛纶纤维制造数据、维纶纤维制造数据、丙纶纤维制造数据、氨纶纤维制造数据；</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橡胶和塑料制品业数据</w:t>
      </w:r>
      <w:r>
        <w:rPr>
          <w:rFonts w:hint="eastAsia" w:ascii="宋体" w:eastAsia="宋体"/>
          <w:color w:val="auto"/>
          <w:highlight w:val="none"/>
          <w:lang w:val="en-US" w:eastAsia="zh-CN"/>
        </w:rPr>
        <w:t>：轮胎制造</w:t>
      </w:r>
      <w:r>
        <w:rPr>
          <w:rFonts w:hint="eastAsia"/>
          <w:color w:val="auto"/>
          <w:highlight w:val="none"/>
          <w:lang w:val="en-US" w:eastAsia="zh-CN"/>
        </w:rPr>
        <w:t>数据、</w:t>
      </w:r>
      <w:r>
        <w:rPr>
          <w:rFonts w:hint="eastAsia" w:ascii="宋体" w:eastAsia="宋体"/>
          <w:color w:val="auto"/>
          <w:highlight w:val="none"/>
          <w:lang w:val="en-US" w:eastAsia="zh-CN"/>
        </w:rPr>
        <w:t>橡胶板</w:t>
      </w:r>
      <w:r>
        <w:rPr>
          <w:rFonts w:hint="eastAsia"/>
          <w:color w:val="auto"/>
          <w:highlight w:val="none"/>
          <w:lang w:val="en-US" w:eastAsia="zh-CN"/>
        </w:rPr>
        <w:t>/</w:t>
      </w:r>
      <w:r>
        <w:rPr>
          <w:rFonts w:hint="eastAsia" w:ascii="宋体" w:eastAsia="宋体"/>
          <w:color w:val="auto"/>
          <w:highlight w:val="none"/>
          <w:lang w:val="en-US" w:eastAsia="zh-CN"/>
        </w:rPr>
        <w:t>管</w:t>
      </w:r>
      <w:r>
        <w:rPr>
          <w:rFonts w:hint="eastAsia"/>
          <w:color w:val="auto"/>
          <w:highlight w:val="none"/>
          <w:lang w:val="en-US" w:eastAsia="zh-CN"/>
        </w:rPr>
        <w:t>/</w:t>
      </w:r>
      <w:r>
        <w:rPr>
          <w:rFonts w:hint="eastAsia" w:ascii="宋体" w:eastAsia="宋体"/>
          <w:color w:val="auto"/>
          <w:highlight w:val="none"/>
          <w:lang w:val="en-US" w:eastAsia="zh-CN"/>
        </w:rPr>
        <w:t>带制造</w:t>
      </w:r>
      <w:r>
        <w:rPr>
          <w:rFonts w:hint="eastAsia"/>
          <w:color w:val="auto"/>
          <w:highlight w:val="none"/>
          <w:lang w:val="en-US" w:eastAsia="zh-CN"/>
        </w:rPr>
        <w:t>数据、</w:t>
      </w:r>
      <w:r>
        <w:rPr>
          <w:rFonts w:hint="eastAsia" w:ascii="宋体" w:eastAsia="宋体"/>
          <w:color w:val="auto"/>
          <w:highlight w:val="none"/>
          <w:lang w:val="en-US" w:eastAsia="zh-CN"/>
        </w:rPr>
        <w:t>橡胶零件制造</w:t>
      </w:r>
      <w:r>
        <w:rPr>
          <w:rFonts w:hint="eastAsia"/>
          <w:color w:val="auto"/>
          <w:highlight w:val="none"/>
          <w:lang w:val="en-US" w:eastAsia="zh-CN"/>
        </w:rPr>
        <w:t>数据、</w:t>
      </w:r>
      <w:r>
        <w:rPr>
          <w:rFonts w:hint="eastAsia" w:ascii="宋体" w:eastAsia="宋体"/>
          <w:color w:val="auto"/>
          <w:highlight w:val="none"/>
          <w:lang w:val="en-US" w:eastAsia="zh-CN"/>
        </w:rPr>
        <w:t>再生橡胶制造</w:t>
      </w:r>
      <w:r>
        <w:rPr>
          <w:rFonts w:hint="eastAsia"/>
          <w:color w:val="auto"/>
          <w:highlight w:val="none"/>
          <w:lang w:val="en-US" w:eastAsia="zh-CN"/>
        </w:rPr>
        <w:t>数据、</w:t>
      </w:r>
      <w:r>
        <w:rPr>
          <w:rFonts w:hint="eastAsia" w:ascii="宋体" w:eastAsia="宋体"/>
          <w:color w:val="auto"/>
          <w:highlight w:val="none"/>
          <w:lang w:val="en-US" w:eastAsia="zh-CN"/>
        </w:rPr>
        <w:t>日用及医用橡胶制品制造</w:t>
      </w:r>
      <w:r>
        <w:rPr>
          <w:rFonts w:hint="eastAsia"/>
          <w:color w:val="auto"/>
          <w:highlight w:val="none"/>
          <w:lang w:val="en-US" w:eastAsia="zh-CN"/>
        </w:rPr>
        <w:t>数据、</w:t>
      </w:r>
      <w:r>
        <w:rPr>
          <w:rFonts w:hint="eastAsia" w:ascii="宋体" w:eastAsia="宋体"/>
          <w:color w:val="auto"/>
          <w:highlight w:val="none"/>
          <w:lang w:val="en-US" w:eastAsia="zh-CN"/>
        </w:rPr>
        <w:t>运动场地用塑胶制造</w:t>
      </w:r>
      <w:r>
        <w:rPr>
          <w:rFonts w:hint="eastAsia"/>
          <w:color w:val="auto"/>
          <w:highlight w:val="none"/>
          <w:lang w:val="en-US" w:eastAsia="zh-CN"/>
        </w:rPr>
        <w:t>数据、塑料薄膜制造数据、塑料板/管/型材制造数据、塑料丝/绳及编织品制造数据、泡沫塑料制造数据、塑料人造革/合成革制造数据；</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非金属矿物制品业数据</w:t>
      </w:r>
      <w:r>
        <w:rPr>
          <w:rFonts w:hint="eastAsia" w:ascii="宋体" w:eastAsia="宋体"/>
          <w:color w:val="auto"/>
          <w:highlight w:val="none"/>
          <w:lang w:val="en-US" w:eastAsia="zh-CN"/>
        </w:rPr>
        <w:t>：</w:t>
      </w:r>
      <w:r>
        <w:rPr>
          <w:rFonts w:hint="eastAsia"/>
          <w:color w:val="auto"/>
          <w:highlight w:val="none"/>
          <w:lang w:val="en-US" w:eastAsia="zh-CN"/>
        </w:rPr>
        <w:t>水泥制造数据、石灰和石膏制造数据、水泥制品制造数据、硷结构构件制造数据、石棉水泥制品制造数据、轻质建筑材料制造数据、粘土砖瓦及建筑砌块制造数据、建筑用石加工数据、防水建筑材料制造数据、隔热和隔音材料制造数据、平板玻璃制造数据、特种玻璃制造数据、技术玻璃制品制造数据、光学玻璃制造数据、玻璃仪器制造数据、日用玻璃制品制造数据、玻璃包装容器制造数据、玻璃保温容器制造数据、制镜及类似品加工数据、玻璃纤维及制品制造数据、玻璃纤维增强塑料制品制造数据、建筑陶瓷制品制造数据、卫生陶瓷制品制造数据、特种陶瓷制品制造数据、日用陶瓷制品制造数据、陈设艺术陶瓷制造数据、园艺陶瓷制造数据、石棉制品制造数据、云母制品制造数据、耐火陶瓷制品及其他耐火材料制造数据、石墨及碳素制品制造数据、其他非金属矿物制品制造数据；</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黑色金属冶炼和压延加工业数据</w:t>
      </w:r>
      <w:r>
        <w:rPr>
          <w:rFonts w:hint="eastAsia" w:ascii="宋体" w:eastAsia="宋体"/>
          <w:color w:val="auto"/>
          <w:highlight w:val="none"/>
          <w:lang w:val="en-US" w:eastAsia="zh-CN"/>
        </w:rPr>
        <w:t>：炼铁</w:t>
      </w:r>
      <w:r>
        <w:rPr>
          <w:rFonts w:hint="eastAsia"/>
          <w:color w:val="auto"/>
          <w:highlight w:val="none"/>
          <w:lang w:val="en-US" w:eastAsia="zh-CN"/>
        </w:rPr>
        <w:t>数据、</w:t>
      </w:r>
      <w:r>
        <w:rPr>
          <w:rFonts w:hint="eastAsia" w:ascii="宋体" w:eastAsia="宋体"/>
          <w:color w:val="auto"/>
          <w:highlight w:val="none"/>
          <w:lang w:val="en-US" w:eastAsia="zh-CN"/>
        </w:rPr>
        <w:t>炼钢</w:t>
      </w:r>
      <w:r>
        <w:rPr>
          <w:rFonts w:hint="eastAsia"/>
          <w:color w:val="auto"/>
          <w:highlight w:val="none"/>
          <w:lang w:val="en-US" w:eastAsia="zh-CN"/>
        </w:rPr>
        <w:t>数据、</w:t>
      </w:r>
      <w:r>
        <w:rPr>
          <w:rFonts w:hint="eastAsia" w:ascii="宋体" w:eastAsia="宋体"/>
          <w:color w:val="auto"/>
          <w:highlight w:val="none"/>
          <w:lang w:val="en-US" w:eastAsia="zh-CN"/>
        </w:rPr>
        <w:t>钢</w:t>
      </w:r>
      <w:r>
        <w:rPr>
          <w:rFonts w:hint="eastAsia"/>
          <w:color w:val="auto"/>
          <w:highlight w:val="none"/>
          <w:lang w:val="en-US" w:eastAsia="zh-CN"/>
        </w:rPr>
        <w:t>压延</w:t>
      </w:r>
      <w:r>
        <w:rPr>
          <w:rFonts w:hint="eastAsia" w:ascii="宋体" w:eastAsia="宋体"/>
          <w:color w:val="auto"/>
          <w:highlight w:val="none"/>
          <w:lang w:val="en-US" w:eastAsia="zh-CN"/>
        </w:rPr>
        <w:t>加</w:t>
      </w:r>
      <w:r>
        <w:rPr>
          <w:rFonts w:hint="eastAsia"/>
          <w:color w:val="auto"/>
          <w:highlight w:val="none"/>
          <w:lang w:val="en-US" w:eastAsia="zh-CN"/>
        </w:rPr>
        <w:t>工数据、</w:t>
      </w:r>
      <w:r>
        <w:rPr>
          <w:rFonts w:hint="eastAsia" w:ascii="宋体" w:eastAsia="宋体"/>
          <w:color w:val="auto"/>
          <w:highlight w:val="none"/>
          <w:lang w:val="en-US" w:eastAsia="zh-CN"/>
        </w:rPr>
        <w:t>铁合金冶炼</w:t>
      </w:r>
      <w:r>
        <w:rPr>
          <w:rFonts w:hint="eastAsia"/>
          <w:color w:val="auto"/>
          <w:highlight w:val="none"/>
          <w:lang w:val="en-US" w:eastAsia="zh-CN"/>
        </w:rPr>
        <w:t>数据；</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有色金属冶炼和压延加工业数据</w:t>
      </w:r>
      <w:r>
        <w:rPr>
          <w:rFonts w:hint="eastAsia" w:ascii="宋体" w:eastAsia="宋体"/>
          <w:color w:val="auto"/>
          <w:highlight w:val="none"/>
          <w:lang w:val="en-US" w:eastAsia="zh-CN"/>
        </w:rPr>
        <w:t>：铜冶炼</w:t>
      </w:r>
      <w:r>
        <w:rPr>
          <w:rFonts w:hint="eastAsia"/>
          <w:color w:val="auto"/>
          <w:highlight w:val="none"/>
          <w:lang w:val="en-US" w:eastAsia="zh-CN"/>
        </w:rPr>
        <w:t>数据、</w:t>
      </w:r>
      <w:r>
        <w:rPr>
          <w:rFonts w:hint="eastAsia" w:ascii="宋体" w:eastAsia="宋体"/>
          <w:color w:val="auto"/>
          <w:highlight w:val="none"/>
          <w:lang w:val="en-US" w:eastAsia="zh-CN"/>
        </w:rPr>
        <w:t>铅锌冶炼</w:t>
      </w:r>
      <w:r>
        <w:rPr>
          <w:rFonts w:hint="eastAsia"/>
          <w:color w:val="auto"/>
          <w:highlight w:val="none"/>
          <w:lang w:val="en-US" w:eastAsia="zh-CN"/>
        </w:rPr>
        <w:t>数据、</w:t>
      </w:r>
      <w:r>
        <w:rPr>
          <w:rFonts w:hint="eastAsia" w:ascii="宋体" w:eastAsia="宋体"/>
          <w:color w:val="auto"/>
          <w:highlight w:val="none"/>
          <w:lang w:val="en-US" w:eastAsia="zh-CN"/>
        </w:rPr>
        <w:t>镍钻冶炼</w:t>
      </w:r>
      <w:r>
        <w:rPr>
          <w:rFonts w:hint="eastAsia"/>
          <w:color w:val="auto"/>
          <w:highlight w:val="none"/>
          <w:lang w:val="en-US" w:eastAsia="zh-CN"/>
        </w:rPr>
        <w:t>数据、</w:t>
      </w:r>
      <w:r>
        <w:rPr>
          <w:rFonts w:hint="eastAsia" w:ascii="宋体" w:eastAsia="宋体"/>
          <w:color w:val="auto"/>
          <w:highlight w:val="none"/>
          <w:lang w:val="en-US" w:eastAsia="zh-CN"/>
        </w:rPr>
        <w:t>锡冶炼</w:t>
      </w:r>
      <w:r>
        <w:rPr>
          <w:rFonts w:hint="eastAsia"/>
          <w:color w:val="auto"/>
          <w:highlight w:val="none"/>
          <w:lang w:val="en-US" w:eastAsia="zh-CN"/>
        </w:rPr>
        <w:t>数据、锦冶炼数据、铝冶炼数据、镁冶炼数据、硅冶炼数据、金冶炼数据、银冶炼数据、钨银冶炼数据、稀土金属冶炼数据、有色金属合金制造数据、铜压延加工数据、铝压延加工数据、贵金属压延加工数据、稀有稀土金属压延加工数据；</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金属制品业数据</w:t>
      </w:r>
      <w:r>
        <w:rPr>
          <w:rFonts w:hint="eastAsia" w:ascii="宋体" w:eastAsia="宋体"/>
          <w:color w:val="auto"/>
          <w:highlight w:val="none"/>
          <w:lang w:val="en-US" w:eastAsia="zh-CN"/>
        </w:rPr>
        <w:t>：</w:t>
      </w:r>
      <w:r>
        <w:rPr>
          <w:rFonts w:hint="eastAsia"/>
          <w:color w:val="auto"/>
          <w:highlight w:val="none"/>
          <w:lang w:val="en-US" w:eastAsia="zh-CN"/>
        </w:rPr>
        <w:t>金属结构制造数据、金属门窗制造数据、切削工具制造手工具制造数据、农用及园林用金属工具制造数据、刀剪及类似日用金属工具制造数据、集装箱制造数据、金属压力容器制造数据、金属包装容器及材料制造数据、金属丝绳及其制品制造数据、建筑、家具用金属配件制造数据、建筑装饰及水暖管道零件制造数据、安全/消防用金属制品制造数据、金属表面处理及热处理加工数据、生产专用搪瓷制品制造数据、建筑装饰搪瓷制品制造数据、搪瓷卫生洁具制造数据、搪瓷日用品制造数据、金属制厨房用器具制造数据、金属制餐具和器皿制造数据、金属制卫生器具制造数据、黑色金属铸造数据、有色金属铸造数据、锻件及粉末冶金制品制造数据、交通及公共管理用金属标牌制造数据；</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通用设备制造业数据</w:t>
      </w:r>
      <w:r>
        <w:rPr>
          <w:rFonts w:hint="eastAsia" w:ascii="宋体" w:eastAsia="宋体"/>
          <w:color w:val="auto"/>
          <w:highlight w:val="none"/>
          <w:lang w:val="en-US" w:eastAsia="zh-CN"/>
        </w:rPr>
        <w:t>：</w:t>
      </w:r>
      <w:r>
        <w:rPr>
          <w:rFonts w:hint="eastAsia"/>
          <w:color w:val="auto"/>
          <w:highlight w:val="none"/>
          <w:lang w:val="en-US" w:eastAsia="zh-CN"/>
        </w:rPr>
        <w:t>锅炉及辅助设备制造数据、内燃机及配件制造数据、汽轮机及辅机制造数据、水轮机及辅机制造数据、风能原动设备制造数据、金属切削机床制造数据、金属成形机床制造数据、铸造机械制造数据、金属切制及焊接设备制造数据、机床功能部件及附件制造数据、轻小型起重设备制造数据、生产专用起重机制造数据、生产专用车辆制造数据、连续搬运设备制造数据、电梯/自动扶梯及升降机制造数据、客运索道制造数据、机械式停车设备制造数据、泵及真空设备制造数据、气体压缩机械制造数据、阀门和旋塞制造数据、液压动力机械及元件制造数据、液力动力机械元件制造数据、气压动力机械及元件制造数据、滚动轴承制造数据、滑动轴承制造数据、齿轮及齿轮减/变速箱制造数据、烘炉/熔炉及电炉制造数据、风机/风扇制造数据、气体/液体分离及纯净设备制造数据、制冷/空调设备制造数据、风动和电动工具制造数据、喷枪及类似器具制造数据、包装专用设备制造数据、电影机械制造数据、幻灯及投影设备制造数据、照相机及器材制造数据、复印和胶印设备制造数据、计算器及货币专用设备制造数据、金属密封件制造数据、紧固件制造数据、弹簧制造数据、机械零部件加工数据、工业机器人制造数据、特殊作业机器人制造数据、增材制造装备制造数据；</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专用设备制造业数据</w:t>
      </w:r>
      <w:r>
        <w:rPr>
          <w:rFonts w:hint="eastAsia" w:ascii="宋体" w:eastAsia="宋体"/>
          <w:color w:val="auto"/>
          <w:highlight w:val="none"/>
          <w:lang w:val="en-US" w:eastAsia="zh-CN"/>
        </w:rPr>
        <w:t>：矿山机械制造</w:t>
      </w:r>
      <w:r>
        <w:rPr>
          <w:rFonts w:hint="eastAsia"/>
          <w:color w:val="auto"/>
          <w:highlight w:val="none"/>
          <w:lang w:val="en-US" w:eastAsia="zh-CN"/>
        </w:rPr>
        <w:t>数据、</w:t>
      </w:r>
      <w:r>
        <w:rPr>
          <w:rFonts w:hint="eastAsia" w:ascii="宋体" w:eastAsia="宋体"/>
          <w:color w:val="auto"/>
          <w:highlight w:val="none"/>
          <w:lang w:val="en-US" w:eastAsia="zh-CN"/>
        </w:rPr>
        <w:t>石油钻采专用设备制造</w:t>
      </w:r>
      <w:r>
        <w:rPr>
          <w:rFonts w:hint="eastAsia"/>
          <w:color w:val="auto"/>
          <w:highlight w:val="none"/>
          <w:lang w:val="en-US" w:eastAsia="zh-CN"/>
        </w:rPr>
        <w:t>数据、</w:t>
      </w:r>
      <w:r>
        <w:rPr>
          <w:rFonts w:hint="eastAsia" w:ascii="宋体" w:eastAsia="宋体"/>
          <w:color w:val="auto"/>
          <w:highlight w:val="none"/>
          <w:lang w:val="en-US" w:eastAsia="zh-CN"/>
        </w:rPr>
        <w:t>深海石油钻探设备制造</w:t>
      </w:r>
      <w:r>
        <w:rPr>
          <w:rFonts w:hint="eastAsia"/>
          <w:color w:val="auto"/>
          <w:highlight w:val="none"/>
          <w:lang w:val="en-US" w:eastAsia="zh-CN"/>
        </w:rPr>
        <w:t>数据、建筑工程用机械制造数据、建筑材料生产专用机械制造数据、冶金专用设备制造数据、隧道施工专用机械制造数据、炼油/化工生产专用设备制造数据、橡胶加工专用设备制造数据、塑料加工专用设备制造数据、木竹材加工机械制造数据、模具制造数据、食品/酒/饮料及茶生产专用设备制造数据、农副食品加工专用设备制造数据、烟草生产专用设备制造数据、饲料生产专用设备制造数据、制浆和造纸专用设备制造数据、印刷专用设备制造数据、日用化工专用设备制造数据、制药专用设备制造数据、照明器具生产专用设备制造数据、玻璃/陶瓷和搪瓷制品生产专用设备制造数据、纺织/服装和皮革加工专用设备制造数据、纺织专用设备制造数据、皮革/毛皮及其制品加工专用设备制造数据、缝制机械制造数据、洗涤机械制造数据、电工机械专用设备制造数据、半导体器件专用设备制造数据、电子元器件与机电组件设备制造数据、拖拉机制造数据、机械化农业及园艺机具制造数据、营林及木竹采伐机械制造数据、医疗诊断/监护及治疗设备制造数据、口腔科用设备及器具制造数据、医疗实验室及医用消毒设备和器具制造数据、医疗/外科及兽医用器械制造数据、机械治疗及病房护理设备制造数据、康复辅具制造数据、眼镜制造数据、环境保护专用设备制造数据、地质勘查专用设备制造数据、邮政专用机械及器材制造数据、商业/饮食/服务专用设备制造数据、社会公共安全设备及器材制造数据、交通安全/管制及类似专用设备制造数据、水资源专用机械制造数据；</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汽车制造业数据</w:t>
      </w:r>
      <w:r>
        <w:rPr>
          <w:rFonts w:hint="eastAsia" w:ascii="宋体" w:eastAsia="宋体"/>
          <w:color w:val="auto"/>
          <w:highlight w:val="none"/>
          <w:lang w:val="en-US" w:eastAsia="zh-CN"/>
        </w:rPr>
        <w:t>：汽柴油车整车制造</w:t>
      </w:r>
      <w:r>
        <w:rPr>
          <w:rFonts w:hint="eastAsia"/>
          <w:color w:val="auto"/>
          <w:highlight w:val="none"/>
          <w:lang w:val="en-US" w:eastAsia="zh-CN"/>
        </w:rPr>
        <w:t>数据、</w:t>
      </w:r>
      <w:r>
        <w:rPr>
          <w:rFonts w:hint="eastAsia" w:ascii="宋体" w:eastAsia="宋体"/>
          <w:color w:val="auto"/>
          <w:highlight w:val="none"/>
          <w:lang w:val="en-US" w:eastAsia="zh-CN"/>
        </w:rPr>
        <w:t>新能源车整车制造</w:t>
      </w:r>
      <w:r>
        <w:rPr>
          <w:rFonts w:hint="eastAsia"/>
          <w:color w:val="auto"/>
          <w:highlight w:val="none"/>
          <w:lang w:val="en-US" w:eastAsia="zh-CN"/>
        </w:rPr>
        <w:t>数据、汽车用发动机制造数据、改装汽车制造低速汽车制造数据、电车制造数据、汽车车身/挂车制造数据、汽车零部件及配件制造数据；</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铁路/船舶/航空航天和其他运输设备制造业数据</w:t>
      </w:r>
      <w:r>
        <w:rPr>
          <w:rFonts w:hint="eastAsia" w:ascii="宋体" w:eastAsia="宋体"/>
          <w:color w:val="auto"/>
          <w:highlight w:val="none"/>
          <w:lang w:val="en-US" w:eastAsia="zh-CN"/>
        </w:rPr>
        <w:t>：高铁车组制造</w:t>
      </w:r>
      <w:r>
        <w:rPr>
          <w:rFonts w:hint="eastAsia"/>
          <w:color w:val="auto"/>
          <w:highlight w:val="none"/>
          <w:lang w:val="en-US" w:eastAsia="zh-CN"/>
        </w:rPr>
        <w:t>数据、</w:t>
      </w:r>
      <w:r>
        <w:rPr>
          <w:rFonts w:hint="eastAsia" w:ascii="宋体" w:eastAsia="宋体"/>
          <w:color w:val="auto"/>
          <w:highlight w:val="none"/>
          <w:lang w:val="en-US" w:eastAsia="zh-CN"/>
        </w:rPr>
        <w:t>铁路机车车辆制造</w:t>
      </w:r>
      <w:r>
        <w:rPr>
          <w:rFonts w:hint="eastAsia"/>
          <w:color w:val="auto"/>
          <w:highlight w:val="none"/>
          <w:lang w:val="en-US" w:eastAsia="zh-CN"/>
        </w:rPr>
        <w:t>数据、</w:t>
      </w:r>
      <w:r>
        <w:rPr>
          <w:rFonts w:hint="eastAsia" w:ascii="宋体" w:eastAsia="宋体"/>
          <w:color w:val="auto"/>
          <w:highlight w:val="none"/>
          <w:lang w:val="en-US" w:eastAsia="zh-CN"/>
        </w:rPr>
        <w:t>窄轨机车车辆制造</w:t>
      </w:r>
      <w:r>
        <w:rPr>
          <w:rFonts w:hint="eastAsia"/>
          <w:color w:val="auto"/>
          <w:highlight w:val="none"/>
          <w:lang w:val="en-US" w:eastAsia="zh-CN"/>
        </w:rPr>
        <w:t>数据、</w:t>
      </w:r>
      <w:r>
        <w:rPr>
          <w:rFonts w:hint="eastAsia" w:ascii="宋体" w:eastAsia="宋体"/>
          <w:color w:val="auto"/>
          <w:highlight w:val="none"/>
          <w:lang w:val="en-US" w:eastAsia="zh-CN"/>
        </w:rPr>
        <w:t>高铁设备</w:t>
      </w:r>
      <w:r>
        <w:rPr>
          <w:rFonts w:hint="eastAsia"/>
          <w:color w:val="auto"/>
          <w:highlight w:val="none"/>
          <w:lang w:val="en-US" w:eastAsia="zh-CN"/>
        </w:rPr>
        <w:t>/</w:t>
      </w:r>
      <w:r>
        <w:rPr>
          <w:rFonts w:hint="eastAsia" w:ascii="宋体" w:eastAsia="宋体"/>
          <w:color w:val="auto"/>
          <w:highlight w:val="none"/>
          <w:lang w:val="en-US" w:eastAsia="zh-CN"/>
        </w:rPr>
        <w:t>配件制造铁路机车车辆配件制造</w:t>
      </w:r>
      <w:r>
        <w:rPr>
          <w:rFonts w:hint="eastAsia"/>
          <w:color w:val="auto"/>
          <w:highlight w:val="none"/>
          <w:lang w:val="en-US" w:eastAsia="zh-CN"/>
        </w:rPr>
        <w:t>数据、</w:t>
      </w:r>
      <w:r>
        <w:rPr>
          <w:rFonts w:hint="eastAsia" w:ascii="宋体" w:eastAsia="宋体"/>
          <w:color w:val="auto"/>
          <w:highlight w:val="none"/>
          <w:lang w:val="en-US" w:eastAsia="zh-CN"/>
        </w:rPr>
        <w:t>铁路专用设备及器材配件制造</w:t>
      </w:r>
      <w:r>
        <w:rPr>
          <w:rFonts w:hint="eastAsia"/>
          <w:color w:val="auto"/>
          <w:highlight w:val="none"/>
          <w:lang w:val="en-US" w:eastAsia="zh-CN"/>
        </w:rPr>
        <w:t>数据、城市轨道交通设备制造数据、金属船舶制造数据、非金属船制造数据、娱乐船和运动船制造数据、船用配套设备制造船舶改装数据、船舶拆除数据、海洋工程装备制造数据、航标器材制造数据、飞机制造数据、航天器及运载火箭制造数据、航天相关设备制造数据、航空相关设备制造数据、摩托车整车制造数据、摩托车零部件及配件制造数据、自行车制造数据、残疾人座车制造数据、助动车制造数据、非公路休闲车及零配件制造数据、潜水装备制造数据、水下救捞装备制造数据；</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电气机械和器材制造业数据</w:t>
      </w:r>
      <w:r>
        <w:rPr>
          <w:rFonts w:hint="eastAsia" w:ascii="宋体" w:eastAsia="宋体"/>
          <w:color w:val="auto"/>
          <w:highlight w:val="none"/>
          <w:lang w:val="en-US" w:eastAsia="zh-CN"/>
        </w:rPr>
        <w:t>：发电机及发电机组制造</w:t>
      </w:r>
      <w:r>
        <w:rPr>
          <w:rFonts w:hint="eastAsia"/>
          <w:color w:val="auto"/>
          <w:highlight w:val="none"/>
          <w:lang w:val="en-US" w:eastAsia="zh-CN"/>
        </w:rPr>
        <w:t>数据、</w:t>
      </w:r>
      <w:r>
        <w:rPr>
          <w:rFonts w:hint="eastAsia" w:ascii="宋体" w:eastAsia="宋体"/>
          <w:color w:val="auto"/>
          <w:highlight w:val="none"/>
          <w:lang w:val="en-US" w:eastAsia="zh-CN"/>
        </w:rPr>
        <w:t>电动机制造</w:t>
      </w:r>
      <w:r>
        <w:rPr>
          <w:rFonts w:hint="eastAsia"/>
          <w:color w:val="auto"/>
          <w:highlight w:val="none"/>
          <w:lang w:val="en-US" w:eastAsia="zh-CN"/>
        </w:rPr>
        <w:t>数据、</w:t>
      </w:r>
      <w:r>
        <w:rPr>
          <w:rFonts w:hint="eastAsia" w:ascii="宋体" w:eastAsia="宋体"/>
          <w:color w:val="auto"/>
          <w:highlight w:val="none"/>
          <w:lang w:val="en-US" w:eastAsia="zh-CN"/>
        </w:rPr>
        <w:t>微特电机及组件制造</w:t>
      </w:r>
      <w:r>
        <w:rPr>
          <w:rFonts w:hint="eastAsia"/>
          <w:color w:val="auto"/>
          <w:highlight w:val="none"/>
          <w:lang w:val="en-US" w:eastAsia="zh-CN"/>
        </w:rPr>
        <w:t>数据、变压器/整流器和电感器制造数据、电容器及其配套设备制造数据、配电开关控制设备制造数据、电力电子元器件制造数据、光伏设备及元器件制造数据、电线、电缆制造数据、光纤制造数据、光缆制造数据、绝缘制品制造数据、理离子电池制造数据、镍氢电池制造数据、铅蓄电池制造数据、锌锰电池制造数据、家用制冷电器具制造家用空气调节器制造数据、家用通风电器具制造数据、家用厨房电器具制造数据、家用清洁卫生电器具制造数据、家用美容/保健护理电器具制造数据、家用电力器具专用配件制造数据、燃气及类似能源家用器具制造数据、太阳能器具制造数据、电光源制造数据、照明灯具制造数据、舞台及场地用灯制造数据、智能照明器具制造数据、灯用电器附件制造数据、电气信号设备装置制造数据；</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计算机/通信和其他电子设备制造业数据</w:t>
      </w:r>
      <w:r>
        <w:rPr>
          <w:rFonts w:hint="eastAsia" w:ascii="宋体" w:eastAsia="宋体"/>
          <w:color w:val="auto"/>
          <w:highlight w:val="none"/>
          <w:lang w:val="en-US" w:eastAsia="zh-CN"/>
        </w:rPr>
        <w:t>：</w:t>
      </w:r>
      <w:r>
        <w:rPr>
          <w:rFonts w:hint="eastAsia"/>
          <w:color w:val="auto"/>
          <w:highlight w:val="none"/>
          <w:lang w:val="en-US" w:eastAsia="zh-CN"/>
        </w:rPr>
        <w:t>计算机整机制造数据、计算机零部件制造数据计算机外制设备制造数据、工业控制计算机及系统制造数据、信息安全设备制造数据、通信系统设备制造数据、通信终端设备制造数据、广播电视节目制作及发射设备制造数据、广播电视接收设备制造数据、广播电视专用配件制造数据、专业音响设备制造数据、应用电视设备制造数据、雷达及配套设备制造数据、电视机制造数据、音响设备制造数据、影视录放设备制造数据、可穿戴智能设备制造数据、智能车载设备制造数据、智能无人飞行器制造数据、服务消费机器人制造数据、电子真空器件制造数据、半导体分立器件制造数据、集成电路制造数据、显示器件制造数据、半导体照明器件制造数据、光电子器件制造数据、电阻电容电感元件制造数据、电子电路制造数据、敏感元件及传感器制造数据、电声器件及零件制造数据、电子专用材料制造数据；</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仪器仪表制造业数据</w:t>
      </w:r>
      <w:r>
        <w:rPr>
          <w:rFonts w:hint="eastAsia" w:ascii="宋体" w:eastAsia="宋体"/>
          <w:color w:val="auto"/>
          <w:highlight w:val="none"/>
          <w:lang w:val="en-US" w:eastAsia="zh-CN"/>
        </w:rPr>
        <w:t>：</w:t>
      </w:r>
      <w:r>
        <w:rPr>
          <w:rFonts w:hint="eastAsia"/>
          <w:color w:val="auto"/>
          <w:highlight w:val="none"/>
          <w:lang w:val="en-US" w:eastAsia="zh-CN"/>
        </w:rPr>
        <w:t>工业自动控制系统装置制造数据、电工仪器仪表制造数据、绘图/计算及测量仪器制造数据、实验分析仪器制造数据、试验机制造数据、供应用仪器仪表制造数据、环境监测专用仪器仪表制造数据、运输设备及生产用计数仪表制造数据、导航/测绘/气象及海洋专用仪器制造数据、农林牧渔专用仪器仪表制造数据、地质勘探和地震专用仪器制造数据、教学专用仪器制造数据、核子及核辐射测量仪器制造数据、电子测量仪器制造数据、钟表与计时仪器制造数据、光学仪器制造数据、衡器制造数据；</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废弃资源综合利用业数据</w:t>
      </w:r>
      <w:r>
        <w:rPr>
          <w:rFonts w:hint="eastAsia" w:ascii="宋体" w:eastAsia="宋体"/>
          <w:color w:val="auto"/>
          <w:highlight w:val="none"/>
          <w:lang w:val="en-US" w:eastAsia="zh-CN"/>
        </w:rPr>
        <w:t>：金属废料和碎屑加工处理</w:t>
      </w:r>
      <w:r>
        <w:rPr>
          <w:rFonts w:hint="eastAsia"/>
          <w:color w:val="auto"/>
          <w:highlight w:val="none"/>
          <w:lang w:val="en-US" w:eastAsia="zh-CN"/>
        </w:rPr>
        <w:t>数据、</w:t>
      </w:r>
      <w:r>
        <w:rPr>
          <w:rFonts w:hint="eastAsia" w:ascii="宋体" w:eastAsia="宋体"/>
          <w:color w:val="auto"/>
          <w:highlight w:val="none"/>
          <w:lang w:val="en-US" w:eastAsia="zh-CN"/>
        </w:rPr>
        <w:t>非金属废料和碎屑加工处理</w:t>
      </w:r>
      <w:r>
        <w:rPr>
          <w:rFonts w:hint="eastAsia"/>
          <w:color w:val="auto"/>
          <w:highlight w:val="none"/>
          <w:lang w:val="en-US" w:eastAsia="zh-CN"/>
        </w:rPr>
        <w:t>数据；</w:t>
      </w:r>
    </w:p>
    <w:p>
      <w:pPr>
        <w:pStyle w:val="25"/>
        <w:numPr>
          <w:ilvl w:val="0"/>
          <w:numId w:val="14"/>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金属制品/机械和设备修理业数据</w:t>
      </w:r>
      <w:r>
        <w:rPr>
          <w:rFonts w:hint="eastAsia" w:ascii="宋体" w:eastAsia="宋体"/>
          <w:color w:val="auto"/>
          <w:highlight w:val="none"/>
          <w:lang w:val="en-US" w:eastAsia="zh-CN"/>
        </w:rPr>
        <w:t>：</w:t>
      </w:r>
      <w:r>
        <w:rPr>
          <w:rFonts w:hint="eastAsia"/>
          <w:color w:val="auto"/>
          <w:highlight w:val="none"/>
          <w:lang w:val="en-US" w:eastAsia="zh-CN"/>
        </w:rPr>
        <w:t>金属制品修理数据、通用设备修理数据、专用设备修理数据、铁路运输设备修理数据、船修理数据、航空航天器修理数据、电气设备修理数据、仪器仪表修理数据。</w:t>
      </w:r>
    </w:p>
    <w:p>
      <w:pPr>
        <w:pStyle w:val="25"/>
        <w:numPr>
          <w:ilvl w:val="0"/>
          <w:numId w:val="12"/>
        </w:numPr>
        <w:tabs>
          <w:tab w:val="clear" w:pos="0"/>
        </w:tabs>
        <w:spacing w:line="360" w:lineRule="auto"/>
        <w:ind w:left="840" w:leftChars="0" w:hanging="420" w:firstLineChars="0"/>
        <w:rPr>
          <w:rFonts w:hint="default"/>
          <w:highlight w:val="none"/>
          <w:lang w:val="en-US" w:eastAsia="zh-CN"/>
        </w:rPr>
      </w:pPr>
      <w:r>
        <w:rPr>
          <w:rFonts w:hint="eastAsia"/>
          <w:color w:val="auto"/>
          <w:highlight w:val="none"/>
          <w:lang w:val="en-US" w:eastAsia="zh-CN"/>
        </w:rPr>
        <w:t>电力、热力、燃气及水的生产和供应业数据。包括但不限于以下内容：</w:t>
      </w:r>
    </w:p>
    <w:p>
      <w:pPr>
        <w:pStyle w:val="25"/>
        <w:numPr>
          <w:ilvl w:val="0"/>
          <w:numId w:val="15"/>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电力、热力生产和供应业数据：火力发电数据、热电联产数据、水力发电数据、核力发电、风力发电数据、太阳能发电数据、生物质能发电数据、电力供应数据、热力生产和供应数据；</w:t>
      </w:r>
    </w:p>
    <w:p>
      <w:pPr>
        <w:pStyle w:val="25"/>
        <w:numPr>
          <w:ilvl w:val="0"/>
          <w:numId w:val="15"/>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燃气生产和供应业数据：天然气生产和供应业数据、液化石油气生产和供应业数据、煤气生产和供应业数据、生物质燃气生产和供应业数据；</w:t>
      </w:r>
    </w:p>
    <w:p>
      <w:pPr>
        <w:pStyle w:val="25"/>
        <w:numPr>
          <w:ilvl w:val="0"/>
          <w:numId w:val="15"/>
        </w:numPr>
        <w:tabs>
          <w:tab w:val="clear" w:pos="0"/>
        </w:tabs>
        <w:spacing w:line="360" w:lineRule="auto"/>
        <w:ind w:left="1260" w:leftChars="0" w:hanging="420" w:firstLineChars="0"/>
        <w:rPr>
          <w:rFonts w:hint="eastAsia"/>
          <w:color w:val="auto"/>
          <w:highlight w:val="none"/>
          <w:lang w:val="en-US" w:eastAsia="zh-CN"/>
        </w:rPr>
      </w:pPr>
      <w:r>
        <w:rPr>
          <w:rFonts w:hint="eastAsia"/>
          <w:color w:val="auto"/>
          <w:highlight w:val="none"/>
          <w:lang w:val="en-US" w:eastAsia="zh-CN"/>
        </w:rPr>
        <w:t>水的生产和供应业数据：自来水生产和供应数据、污水处理及其再生利用数据、海水淡化处理数据。</w:t>
      </w:r>
    </w:p>
    <w:p>
      <w:pPr>
        <w:pStyle w:val="26"/>
        <w:bidi w:val="0"/>
        <w:outlineLvl w:val="1"/>
        <w:rPr>
          <w:rFonts w:hint="default"/>
          <w:lang w:val="en-US" w:eastAsia="zh-CN"/>
        </w:rPr>
      </w:pPr>
      <w:bookmarkStart w:id="229" w:name="_Toc10182"/>
      <w:bookmarkStart w:id="230" w:name="_Toc26366"/>
      <w:bookmarkStart w:id="231" w:name="_Toc27714"/>
      <w:bookmarkStart w:id="232" w:name="_Toc21555"/>
      <w:bookmarkStart w:id="233" w:name="_Toc14475"/>
      <w:r>
        <w:rPr>
          <w:rFonts w:hint="eastAsia"/>
          <w:lang w:val="en-US" w:eastAsia="zh-CN"/>
        </w:rPr>
        <w:t>业务领域</w:t>
      </w:r>
      <w:bookmarkEnd w:id="229"/>
      <w:r>
        <w:rPr>
          <w:rFonts w:hint="eastAsia"/>
          <w:lang w:val="en-US" w:eastAsia="zh-CN"/>
        </w:rPr>
        <w:t>维度</w:t>
      </w:r>
      <w:bookmarkEnd w:id="230"/>
      <w:bookmarkEnd w:id="231"/>
      <w:bookmarkEnd w:id="232"/>
      <w:bookmarkEnd w:id="233"/>
    </w:p>
    <w:p>
      <w:pPr>
        <w:pStyle w:val="25"/>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r>
        <w:rPr>
          <w:rFonts w:hint="eastAsia" w:hAnsi="宋体" w:cs="宋体"/>
          <w:color w:val="auto"/>
          <w:sz w:val="21"/>
          <w:szCs w:val="21"/>
          <w:highlight w:val="none"/>
          <w:lang w:val="en-US" w:eastAsia="zh-CN"/>
        </w:rPr>
        <w:t>企业</w:t>
      </w:r>
      <w:r>
        <w:rPr>
          <w:rFonts w:hint="eastAsia" w:ascii="宋体" w:hAnsi="宋体" w:eastAsia="宋体" w:cs="宋体"/>
          <w:color w:val="auto"/>
          <w:sz w:val="21"/>
          <w:szCs w:val="21"/>
          <w:highlight w:val="none"/>
          <w:lang w:val="en-US" w:eastAsia="zh-CN"/>
        </w:rPr>
        <w:t>数据</w:t>
      </w:r>
      <w:r>
        <w:rPr>
          <w:rFonts w:hint="eastAsia" w:hAnsi="宋体" w:cs="宋体"/>
          <w:color w:val="auto"/>
          <w:sz w:val="21"/>
          <w:szCs w:val="21"/>
          <w:highlight w:val="none"/>
          <w:lang w:val="en-US" w:eastAsia="zh-CN"/>
        </w:rPr>
        <w:t>按照业务领域维度</w:t>
      </w:r>
      <w:r>
        <w:rPr>
          <w:rFonts w:hint="eastAsia" w:ascii="宋体" w:hAnsi="宋体" w:eastAsia="宋体" w:cs="宋体"/>
          <w:color w:val="auto"/>
          <w:sz w:val="21"/>
          <w:szCs w:val="21"/>
          <w:highlight w:val="none"/>
          <w:lang w:val="en-US" w:eastAsia="zh-CN"/>
        </w:rPr>
        <w:t>分类包括但不限于</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研发数据域、生产数据域、运维数据域、管理数据域</w:t>
      </w:r>
      <w:r>
        <w:rPr>
          <w:rFonts w:hint="eastAsia" w:hAnsi="宋体" w:cs="宋体"/>
          <w:color w:val="auto"/>
          <w:sz w:val="21"/>
          <w:szCs w:val="21"/>
          <w:highlight w:val="none"/>
          <w:lang w:val="en-US" w:eastAsia="zh-CN"/>
        </w:rPr>
        <w:t>、</w:t>
      </w:r>
      <w:r>
        <w:rPr>
          <w:rFonts w:hint="eastAsia"/>
          <w:color w:val="auto"/>
          <w:highlight w:val="none"/>
          <w:lang w:val="en-US" w:eastAsia="zh-CN"/>
        </w:rPr>
        <w:t>标识解析运营域数据</w:t>
      </w:r>
      <w:r>
        <w:rPr>
          <w:rFonts w:hint="eastAsia" w:hAnsi="宋体" w:cs="宋体"/>
          <w:color w:val="auto"/>
          <w:sz w:val="21"/>
          <w:szCs w:val="21"/>
          <w:highlight w:val="none"/>
          <w:lang w:val="en-US" w:eastAsia="zh-CN"/>
        </w:rPr>
        <w:t>以及</w:t>
      </w:r>
      <w:r>
        <w:rPr>
          <w:rFonts w:hint="eastAsia" w:ascii="宋体" w:hAnsi="宋体" w:eastAsia="宋体" w:cs="宋体"/>
          <w:color w:val="auto"/>
          <w:sz w:val="21"/>
          <w:szCs w:val="21"/>
          <w:highlight w:val="none"/>
          <w:lang w:val="en-US" w:eastAsia="zh-CN"/>
        </w:rPr>
        <w:t>外部</w:t>
      </w:r>
      <w:r>
        <w:rPr>
          <w:rFonts w:hint="eastAsia" w:hAnsi="宋体" w:cs="宋体"/>
          <w:color w:val="auto"/>
          <w:sz w:val="21"/>
          <w:szCs w:val="21"/>
          <w:highlight w:val="none"/>
          <w:lang w:val="en-US" w:eastAsia="zh-CN"/>
        </w:rPr>
        <w:t>域</w:t>
      </w:r>
      <w:r>
        <w:rPr>
          <w:rFonts w:hint="eastAsia" w:ascii="宋体" w:hAnsi="宋体" w:eastAsia="宋体" w:cs="宋体"/>
          <w:color w:val="auto"/>
          <w:sz w:val="21"/>
          <w:szCs w:val="21"/>
          <w:highlight w:val="none"/>
          <w:lang w:val="en-US" w:eastAsia="zh-CN"/>
        </w:rPr>
        <w:t>数据。</w:t>
      </w:r>
    </w:p>
    <w:p>
      <w:pPr>
        <w:pStyle w:val="25"/>
        <w:numPr>
          <w:ilvl w:val="0"/>
          <w:numId w:val="16"/>
        </w:numPr>
        <w:tabs>
          <w:tab w:val="clear" w:pos="0"/>
        </w:tabs>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研发域数据，数据处理者在研发设计过程中产生和收集的数据，其数据子类包括但不限于</w:t>
      </w:r>
      <w:r>
        <w:rPr>
          <w:rFonts w:hint="eastAsia" w:ascii="宋体" w:hAnsi="宋体"/>
          <w:color w:val="auto"/>
          <w:highlight w:val="none"/>
          <w:lang w:val="en-US" w:eastAsia="zh-CN"/>
        </w:rPr>
        <w:t>：</w:t>
      </w:r>
    </w:p>
    <w:p>
      <w:pPr>
        <w:pStyle w:val="25"/>
        <w:keepNext w:val="0"/>
        <w:keepLines w:val="0"/>
        <w:pageBreakBefore w:val="0"/>
        <w:widowControl/>
        <w:numPr>
          <w:ilvl w:val="0"/>
          <w:numId w:val="17"/>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研发设计数据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研发设计过程中产生的数据，包括研发知识数据、产品模型、设计图纸、协同研发数据等</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17"/>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开发测试数据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开发测试过程中产生的数据，包括开发代码、测试用例、功能性能测试数据、安全测试数据等。</w:t>
      </w:r>
    </w:p>
    <w:p>
      <w:pPr>
        <w:pStyle w:val="25"/>
        <w:numPr>
          <w:ilvl w:val="0"/>
          <w:numId w:val="16"/>
        </w:numPr>
        <w:tabs>
          <w:tab w:val="clear" w:pos="0"/>
        </w:tabs>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生产域数据，数据处理者在生产制造过程中产生和收集的数据，其数据子类包括但不限于</w:t>
      </w:r>
      <w:r>
        <w:rPr>
          <w:rFonts w:hint="eastAsia" w:ascii="宋体" w:hAnsi="宋体"/>
          <w:color w:val="auto"/>
          <w:highlight w:val="none"/>
          <w:lang w:val="en-US" w:eastAsia="zh-CN"/>
        </w:rPr>
        <w:t>：</w:t>
      </w:r>
    </w:p>
    <w:p>
      <w:pPr>
        <w:pStyle w:val="25"/>
        <w:keepNext w:val="0"/>
        <w:keepLines w:val="0"/>
        <w:pageBreakBefore w:val="0"/>
        <w:widowControl/>
        <w:numPr>
          <w:ilvl w:val="0"/>
          <w:numId w:val="18"/>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控制信息</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工业互联网环境下与生产控制过程相关的系统及设备所产生的各类数据，包括SCADA、DCS、PLC</w:t>
      </w:r>
      <w:r>
        <w:rPr>
          <w:rFonts w:hint="eastAsia" w:hAnsi="宋体" w:cs="宋体"/>
          <w:color w:val="auto"/>
          <w:sz w:val="21"/>
          <w:szCs w:val="21"/>
          <w:highlight w:val="none"/>
          <w:lang w:val="en-US" w:eastAsia="zh-CN"/>
        </w:rPr>
        <w:t>、MES、ERP</w:t>
      </w:r>
      <w:r>
        <w:rPr>
          <w:rFonts w:hint="eastAsia" w:ascii="宋体" w:hAnsi="宋体" w:eastAsia="宋体" w:cs="宋体"/>
          <w:color w:val="auto"/>
          <w:sz w:val="21"/>
          <w:szCs w:val="21"/>
          <w:highlight w:val="none"/>
          <w:lang w:val="en-US" w:eastAsia="zh-CN"/>
        </w:rPr>
        <w:t>等系统及设备的计算或分析结果、控制指令、告警信号等</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18"/>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工况状态</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与工业现场设备的实时运行状态相关的各类数据，包括设备运行监测数据、设备故障数据等。</w:t>
      </w:r>
    </w:p>
    <w:p>
      <w:pPr>
        <w:pStyle w:val="25"/>
        <w:keepNext w:val="0"/>
        <w:keepLines w:val="0"/>
        <w:pageBreakBefore w:val="0"/>
        <w:widowControl/>
        <w:numPr>
          <w:ilvl w:val="0"/>
          <w:numId w:val="18"/>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工艺参数</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完成工艺的一系列基础数据或者指标，包括温湿度、压强、电流、电压、功率、高度、速度、位置等</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18"/>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系统日志</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工业现场设备、应用系统运行过程中所产生的日志数据，包括设备登录日志、运维操作日志、故障告警日志等。</w:t>
      </w:r>
    </w:p>
    <w:p>
      <w:pPr>
        <w:pStyle w:val="25"/>
        <w:numPr>
          <w:ilvl w:val="0"/>
          <w:numId w:val="16"/>
        </w:numPr>
        <w:tabs>
          <w:tab w:val="clear" w:pos="0"/>
        </w:tabs>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运维域数据，数据处理者在运行维护过程中产生和收集的数据，其数据子类包括但不限于</w:t>
      </w:r>
      <w:r>
        <w:rPr>
          <w:rFonts w:hint="eastAsia" w:ascii="宋体" w:hAnsi="宋体"/>
          <w:color w:val="auto"/>
          <w:highlight w:val="none"/>
          <w:lang w:val="en-US" w:eastAsia="zh-CN"/>
        </w:rPr>
        <w:t>：</w:t>
      </w:r>
    </w:p>
    <w:p>
      <w:pPr>
        <w:pStyle w:val="25"/>
        <w:keepNext w:val="0"/>
        <w:keepLines w:val="0"/>
        <w:pageBreakBefore w:val="0"/>
        <w:widowControl/>
        <w:numPr>
          <w:ilvl w:val="0"/>
          <w:numId w:val="19"/>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物流数据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物品从供应地向接收地的实体流动过程中产生的数据，包括交通数据、物流公司数据、贸易信息、物品流转路径信息、每日运价指数等</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19"/>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产品售后服务数据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产品出售以后所提供的各种运维等服务活动产生的数据，包括维修服务数据、售后咨询数据、售后服务评价数据等。</w:t>
      </w:r>
    </w:p>
    <w:p>
      <w:pPr>
        <w:pStyle w:val="25"/>
        <w:numPr>
          <w:ilvl w:val="0"/>
          <w:numId w:val="16"/>
        </w:numPr>
        <w:tabs>
          <w:tab w:val="clear" w:pos="0"/>
        </w:tabs>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管理域数据，数据处理者在经营管理过程中产生和收集的数据，其数据子类包括但不限于</w:t>
      </w:r>
      <w:r>
        <w:rPr>
          <w:rFonts w:hint="eastAsia" w:ascii="宋体" w:hAnsi="宋体"/>
          <w:color w:val="auto"/>
          <w:highlight w:val="none"/>
          <w:lang w:val="en-US" w:eastAsia="zh-CN"/>
        </w:rPr>
        <w:t>：</w:t>
      </w:r>
    </w:p>
    <w:p>
      <w:pPr>
        <w:pStyle w:val="25"/>
        <w:keepNext w:val="0"/>
        <w:keepLines w:val="0"/>
        <w:pageBreakBefore w:val="0"/>
        <w:widowControl/>
        <w:numPr>
          <w:ilvl w:val="0"/>
          <w:numId w:val="20"/>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系统设备资产信息</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应用系统、设备等资产登记入库信息及其正常运行所需的配置数据，包括资产库信息、系统使用的IP地址与端口号、系统账号信息等</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20"/>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产品供应链数据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产品上下游供应链中所涉及的数据，包括供货商数据、制造商数据、仓储商数据、运输商数据、分销商数据、零售商数据、服务商数据、终端客户数据等</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20"/>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业务统计数据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企业相关业务的统计数据，包括用户数量、联网设备数量、服务行业数量设备运行效率、产能统计数据等。</w:t>
      </w:r>
    </w:p>
    <w:p>
      <w:pPr>
        <w:pStyle w:val="25"/>
        <w:keepNext w:val="0"/>
        <w:keepLines w:val="0"/>
        <w:pageBreakBefore w:val="0"/>
        <w:widowControl/>
        <w:numPr>
          <w:ilvl w:val="0"/>
          <w:numId w:val="20"/>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客户与产品信息</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业务运营过程中所收集、使用的与客户、产品相关的数据，包括客户信息</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用户身份鉴别信息、产品手册等。</w:t>
      </w:r>
    </w:p>
    <w:p>
      <w:pPr>
        <w:pStyle w:val="25"/>
        <w:numPr>
          <w:ilvl w:val="0"/>
          <w:numId w:val="16"/>
        </w:numPr>
        <w:tabs>
          <w:tab w:val="clear" w:pos="0"/>
        </w:tabs>
        <w:spacing w:line="360" w:lineRule="auto"/>
        <w:ind w:left="840" w:leftChars="0" w:hanging="420" w:firstLineChars="0"/>
        <w:rPr>
          <w:rFonts w:hint="eastAsia" w:ascii="宋体" w:hAnsi="宋体" w:eastAsia="宋体" w:cs="宋体"/>
          <w:color w:val="auto"/>
          <w:sz w:val="21"/>
          <w:szCs w:val="21"/>
          <w:highlight w:val="none"/>
          <w:lang w:val="en-US" w:eastAsia="zh-CN"/>
        </w:rPr>
      </w:pPr>
      <w:r>
        <w:rPr>
          <w:rFonts w:hint="eastAsia"/>
          <w:color w:val="auto"/>
          <w:highlight w:val="none"/>
          <w:lang w:val="en-US" w:eastAsia="zh-CN"/>
        </w:rPr>
        <w:t>外部域数据，是指数据处理者与其他数据处理者交互的数据，包括</w:t>
      </w:r>
      <w:r>
        <w:rPr>
          <w:rFonts w:hint="eastAsia" w:ascii="宋体" w:hAnsi="宋体"/>
          <w:color w:val="auto"/>
          <w:highlight w:val="none"/>
          <w:lang w:val="en-US" w:eastAsia="zh-CN"/>
        </w:rPr>
        <w:t>：</w:t>
      </w:r>
      <w:r>
        <w:rPr>
          <w:rFonts w:hint="eastAsia"/>
          <w:color w:val="auto"/>
          <w:highlight w:val="none"/>
          <w:lang w:val="en-US" w:eastAsia="zh-CN"/>
        </w:rPr>
        <w:t>本企业与其他企业进行交换，共享、交易等相关数据。</w:t>
      </w:r>
    </w:p>
    <w:p>
      <w:pPr>
        <w:pStyle w:val="25"/>
        <w:numPr>
          <w:ilvl w:val="0"/>
          <w:numId w:val="16"/>
        </w:numPr>
        <w:tabs>
          <w:tab w:val="clear" w:pos="0"/>
        </w:tabs>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标识解析运营域数据，数据处理者在提供、使用标识解析服务过程中产生和收集得数据，其数据子类包括但不限于</w:t>
      </w:r>
      <w:r>
        <w:rPr>
          <w:rFonts w:hint="eastAsia" w:ascii="宋体" w:hAnsi="宋体"/>
          <w:color w:val="auto"/>
          <w:highlight w:val="none"/>
          <w:lang w:val="en-US" w:eastAsia="zh-CN"/>
        </w:rPr>
        <w:t>：</w:t>
      </w:r>
    </w:p>
    <w:p>
      <w:pPr>
        <w:pStyle w:val="25"/>
        <w:keepNext w:val="0"/>
        <w:keepLines w:val="0"/>
        <w:pageBreakBefore w:val="0"/>
        <w:widowControl/>
        <w:numPr>
          <w:ilvl w:val="0"/>
          <w:numId w:val="21"/>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标识数据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标识编码本身的数据，包括Handle体系</w:t>
      </w:r>
      <w:r>
        <w:rPr>
          <w:rFonts w:hint="eastAsia" w:hAnsi="宋体" w:cs="宋体"/>
          <w:color w:val="auto"/>
          <w:sz w:val="21"/>
          <w:szCs w:val="21"/>
          <w:highlight w:val="none"/>
          <w:lang w:val="en-US" w:eastAsia="zh-CN"/>
        </w:rPr>
        <w:t>(</w:t>
      </w:r>
      <w:r>
        <w:rPr>
          <w:rFonts w:hint="eastAsia" w:hAnsi="宋体" w:cs="宋体"/>
          <w:color w:val="auto"/>
          <w:szCs w:val="21"/>
          <w:highlight w:val="none"/>
        </w:rPr>
        <w:t>工业互联网标识解析体系</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中的前缀/后缀、DNS体系中的域名等；</w:t>
      </w:r>
    </w:p>
    <w:p>
      <w:pPr>
        <w:pStyle w:val="25"/>
        <w:keepNext w:val="0"/>
        <w:keepLines w:val="0"/>
        <w:pageBreakBefore w:val="0"/>
        <w:widowControl/>
        <w:numPr>
          <w:ilvl w:val="0"/>
          <w:numId w:val="21"/>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标识运营数据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标识解析服务过程中所产生的数据，包括标识运营服务数据等；</w:t>
      </w:r>
    </w:p>
    <w:p>
      <w:pPr>
        <w:pStyle w:val="25"/>
        <w:keepNext w:val="0"/>
        <w:keepLines w:val="0"/>
        <w:pageBreakBefore w:val="0"/>
        <w:widowControl/>
        <w:numPr>
          <w:ilvl w:val="0"/>
          <w:numId w:val="21"/>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标识解析数据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标识解析过程中单个标识编码关联的数据，包括每个标识对应的属性值等。</w:t>
      </w:r>
    </w:p>
    <w:p>
      <w:pPr>
        <w:pStyle w:val="25"/>
        <w:numPr>
          <w:ilvl w:val="-1"/>
          <w:numId w:val="0"/>
        </w:numPr>
        <w:spacing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平台企业</w:t>
      </w:r>
      <w:r>
        <w:rPr>
          <w:rFonts w:hint="eastAsia" w:ascii="宋体" w:hAnsi="宋体" w:eastAsia="宋体" w:cs="宋体"/>
          <w:color w:val="auto"/>
          <w:sz w:val="21"/>
          <w:szCs w:val="21"/>
          <w:highlight w:val="none"/>
          <w:lang w:val="en-US" w:eastAsia="zh-CN"/>
        </w:rPr>
        <w:t>数据</w:t>
      </w:r>
      <w:r>
        <w:rPr>
          <w:rFonts w:hint="eastAsia" w:hAnsi="宋体" w:cs="宋体"/>
          <w:color w:val="auto"/>
          <w:sz w:val="21"/>
          <w:szCs w:val="21"/>
          <w:highlight w:val="none"/>
          <w:lang w:val="en-US" w:eastAsia="zh-CN"/>
        </w:rPr>
        <w:t>按照业务领域维度</w:t>
      </w:r>
      <w:r>
        <w:rPr>
          <w:rFonts w:hint="eastAsia" w:ascii="宋体" w:hAnsi="宋体" w:eastAsia="宋体" w:cs="宋体"/>
          <w:color w:val="auto"/>
          <w:sz w:val="21"/>
          <w:szCs w:val="21"/>
          <w:highlight w:val="none"/>
          <w:lang w:val="en-US" w:eastAsia="zh-CN"/>
        </w:rPr>
        <w:t>分类包括但不限于</w:t>
      </w:r>
      <w:r>
        <w:rPr>
          <w:rFonts w:hint="eastAsia" w:ascii="宋体" w:hAnsi="宋体" w:cs="宋体"/>
          <w:color w:val="auto"/>
          <w:sz w:val="21"/>
          <w:szCs w:val="21"/>
          <w:highlight w:val="none"/>
          <w:lang w:val="en-US" w:eastAsia="zh-CN"/>
        </w:rPr>
        <w:t>：平台运营域数据、企业管理域数据</w:t>
      </w:r>
      <w:r>
        <w:rPr>
          <w:rFonts w:hint="eastAsia" w:ascii="宋体" w:hAnsi="宋体" w:eastAsia="宋体" w:cs="宋体"/>
          <w:color w:val="auto"/>
          <w:sz w:val="21"/>
          <w:szCs w:val="21"/>
          <w:highlight w:val="none"/>
          <w:lang w:val="en-US" w:eastAsia="zh-CN"/>
        </w:rPr>
        <w:t>。</w:t>
      </w:r>
    </w:p>
    <w:p>
      <w:pPr>
        <w:pStyle w:val="25"/>
        <w:numPr>
          <w:ilvl w:val="0"/>
          <w:numId w:val="22"/>
        </w:numPr>
        <w:tabs>
          <w:tab w:val="clear" w:pos="0"/>
        </w:tabs>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平台运营域数据，数据处理者在工业互联网平台运行过程中产生和收集的数据，其数据子类包括但不限于</w:t>
      </w:r>
      <w:r>
        <w:rPr>
          <w:rFonts w:hint="eastAsia" w:ascii="宋体" w:hAnsi="宋体"/>
          <w:color w:val="auto"/>
          <w:highlight w:val="none"/>
          <w:lang w:val="en-US" w:eastAsia="zh-CN"/>
        </w:rPr>
        <w:t>：</w:t>
      </w:r>
    </w:p>
    <w:p>
      <w:pPr>
        <w:pStyle w:val="25"/>
        <w:keepNext w:val="0"/>
        <w:keepLines w:val="0"/>
        <w:pageBreakBefore w:val="0"/>
        <w:widowControl/>
        <w:numPr>
          <w:ilvl w:val="0"/>
          <w:numId w:val="23"/>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物联收集数据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工业互联网平台通过工业互联网通信协议收集的来自其他企业的数据，包括从工业现场所收集的各类数据、企业上云数据等</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23"/>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知识库模型库数据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为指导或保证工业互联网业务正常或最优运行所需要的各类知识与模型数据，包括标准政策、专家知识库、计算分析模型、地理信息数据、气象数据等。</w:t>
      </w:r>
    </w:p>
    <w:p>
      <w:pPr>
        <w:pStyle w:val="25"/>
        <w:numPr>
          <w:ilvl w:val="0"/>
          <w:numId w:val="22"/>
        </w:numPr>
        <w:tabs>
          <w:tab w:val="clear" w:pos="0"/>
        </w:tabs>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企业管理域数据，是数据处理者自身在管理过程中产生和收集的数据，其数据子类包括但不限于</w:t>
      </w:r>
      <w:r>
        <w:rPr>
          <w:rFonts w:hint="eastAsia" w:ascii="宋体" w:hAnsi="宋体"/>
          <w:color w:val="auto"/>
          <w:highlight w:val="none"/>
          <w:lang w:val="en-US" w:eastAsia="zh-CN"/>
        </w:rPr>
        <w:t>：</w:t>
      </w:r>
    </w:p>
    <w:p>
      <w:pPr>
        <w:pStyle w:val="25"/>
        <w:keepNext w:val="0"/>
        <w:keepLines w:val="0"/>
        <w:pageBreakBefore w:val="0"/>
        <w:widowControl/>
        <w:numPr>
          <w:ilvl w:val="0"/>
          <w:numId w:val="24"/>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客户与产品信息</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业务运营过程中所收集、使用的与客户、产品相关的数据，包括客户信息</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用户身份鉴别信息、产品手册等。</w:t>
      </w:r>
    </w:p>
    <w:p>
      <w:pPr>
        <w:pStyle w:val="25"/>
        <w:keepNext w:val="0"/>
        <w:keepLines w:val="0"/>
        <w:pageBreakBefore w:val="0"/>
        <w:widowControl/>
        <w:numPr>
          <w:ilvl w:val="0"/>
          <w:numId w:val="24"/>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业务合作数据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为满足业务运营需要及支撑业务运行的各类合作相关数据，包括企业基础信息合作内容、合作业务信息等。</w:t>
      </w:r>
    </w:p>
    <w:p>
      <w:pPr>
        <w:pStyle w:val="25"/>
        <w:keepNext w:val="0"/>
        <w:keepLines w:val="0"/>
        <w:pageBreakBefore w:val="0"/>
        <w:widowControl/>
        <w:numPr>
          <w:ilvl w:val="0"/>
          <w:numId w:val="24"/>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人事财务数据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人力资源信息、财务状况和经营业绩等相关数据，包括人员招聘考勤信息、人员教育培训信息、人员薪酬、合同、财政收支等。</w:t>
      </w:r>
    </w:p>
    <w:p>
      <w:pPr>
        <w:pStyle w:val="26"/>
        <w:bidi w:val="0"/>
        <w:outlineLvl w:val="1"/>
        <w:rPr>
          <w:rFonts w:hint="default"/>
          <w:lang w:val="en-US" w:eastAsia="zh-CN"/>
        </w:rPr>
      </w:pPr>
      <w:bookmarkStart w:id="234" w:name="_Toc6300"/>
      <w:bookmarkStart w:id="235" w:name="_Toc23520"/>
      <w:bookmarkStart w:id="236" w:name="_Toc21752"/>
      <w:bookmarkStart w:id="237" w:name="_Toc14408"/>
      <w:r>
        <w:rPr>
          <w:rFonts w:hint="eastAsia"/>
          <w:lang w:val="en-US" w:eastAsia="zh-CN"/>
        </w:rPr>
        <w:t>组织经营维度</w:t>
      </w:r>
      <w:bookmarkEnd w:id="234"/>
      <w:bookmarkEnd w:id="235"/>
      <w:bookmarkEnd w:id="236"/>
      <w:bookmarkEnd w:id="237"/>
    </w:p>
    <w:p>
      <w:pPr>
        <w:pStyle w:val="25"/>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工业数据按照组织经营维度分类包括但不限于</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用户数据、业务数据、经营管理数据、系统运行和安全数据</w:t>
      </w:r>
      <w:r>
        <w:rPr>
          <w:rFonts w:hint="eastAsia" w:hAnsi="宋体" w:cs="宋体"/>
          <w:color w:val="auto"/>
          <w:sz w:val="21"/>
          <w:szCs w:val="21"/>
          <w:highlight w:val="none"/>
          <w:lang w:val="en-US" w:eastAsia="zh-CN"/>
        </w:rPr>
        <w:t>。</w:t>
      </w:r>
    </w:p>
    <w:p>
      <w:pPr>
        <w:pStyle w:val="25"/>
        <w:numPr>
          <w:ilvl w:val="0"/>
          <w:numId w:val="25"/>
        </w:numPr>
        <w:tabs>
          <w:tab w:val="clear" w:pos="0"/>
        </w:tabs>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用户数据</w:t>
      </w:r>
      <w:r>
        <w:rPr>
          <w:rFonts w:hint="eastAsia" w:ascii="宋体" w:hAnsi="宋体"/>
          <w:color w:val="auto"/>
          <w:highlight w:val="none"/>
          <w:lang w:val="en-US" w:eastAsia="zh-CN"/>
        </w:rPr>
        <w:t>：</w:t>
      </w:r>
      <w:r>
        <w:rPr>
          <w:rFonts w:hint="eastAsia"/>
          <w:color w:val="auto"/>
          <w:highlight w:val="none"/>
          <w:lang w:val="en-US" w:eastAsia="zh-CN"/>
        </w:rPr>
        <w:t>组织在开展业务服务过程中从个人用户或组织用户收集的数据，以及在业务服务过程中产生的归属于用户的数据。如个人用户信息（即个人信息）、组织用户信息（如组织基本信息、组织账号信息、组织信用信息等）。</w:t>
      </w:r>
    </w:p>
    <w:p>
      <w:pPr>
        <w:pStyle w:val="25"/>
        <w:numPr>
          <w:ilvl w:val="0"/>
          <w:numId w:val="25"/>
        </w:numPr>
        <w:tabs>
          <w:tab w:val="clear" w:pos="0"/>
        </w:tabs>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业务数据</w:t>
      </w:r>
      <w:r>
        <w:rPr>
          <w:rFonts w:hint="eastAsia" w:ascii="宋体" w:hAnsi="宋体"/>
          <w:color w:val="auto"/>
          <w:highlight w:val="none"/>
          <w:lang w:val="en-US" w:eastAsia="zh-CN"/>
        </w:rPr>
        <w:t>：</w:t>
      </w:r>
      <w:r>
        <w:rPr>
          <w:rFonts w:hint="eastAsia"/>
          <w:color w:val="auto"/>
          <w:highlight w:val="none"/>
          <w:lang w:val="en-US" w:eastAsia="zh-CN"/>
        </w:rPr>
        <w:t>组织在业务生产过程中收集和产生的非用户类数据。参考业务所属的行业数据分级分类，结合自身业务特点进行细分，如产品数据、合同协议等。</w:t>
      </w:r>
    </w:p>
    <w:p>
      <w:pPr>
        <w:pStyle w:val="25"/>
        <w:numPr>
          <w:ilvl w:val="0"/>
          <w:numId w:val="25"/>
        </w:numPr>
        <w:tabs>
          <w:tab w:val="clear" w:pos="0"/>
        </w:tabs>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经营管理数据</w:t>
      </w:r>
      <w:r>
        <w:rPr>
          <w:rFonts w:hint="eastAsia" w:ascii="宋体" w:hAnsi="宋体"/>
          <w:color w:val="auto"/>
          <w:highlight w:val="none"/>
          <w:lang w:val="en-US" w:eastAsia="zh-CN"/>
        </w:rPr>
        <w:t>：</w:t>
      </w:r>
      <w:r>
        <w:rPr>
          <w:rFonts w:hint="eastAsia"/>
          <w:color w:val="auto"/>
          <w:highlight w:val="none"/>
          <w:lang w:val="en-US" w:eastAsia="zh-CN"/>
        </w:rPr>
        <w:t>组织在机构经营管理过程中收集和产生的数据。如经营战略、财务数据、并购及融资信息等。</w:t>
      </w:r>
    </w:p>
    <w:p>
      <w:pPr>
        <w:pStyle w:val="25"/>
        <w:numPr>
          <w:ilvl w:val="0"/>
          <w:numId w:val="25"/>
        </w:numPr>
        <w:tabs>
          <w:tab w:val="clear" w:pos="0"/>
        </w:tabs>
        <w:spacing w:line="360" w:lineRule="auto"/>
        <w:ind w:left="840" w:leftChars="0" w:hanging="420" w:firstLineChars="0"/>
        <w:rPr>
          <w:rFonts w:hint="default"/>
          <w:color w:val="auto"/>
          <w:highlight w:val="none"/>
          <w:lang w:val="en-US" w:eastAsia="zh-CN"/>
        </w:rPr>
      </w:pPr>
      <w:r>
        <w:rPr>
          <w:rFonts w:hint="eastAsia"/>
          <w:color w:val="auto"/>
          <w:highlight w:val="none"/>
          <w:lang w:val="en-US" w:eastAsia="zh-CN"/>
        </w:rPr>
        <w:t>系统运行和安全数据</w:t>
      </w:r>
      <w:r>
        <w:rPr>
          <w:rFonts w:hint="eastAsia" w:ascii="宋体" w:hAnsi="宋体"/>
          <w:color w:val="auto"/>
          <w:highlight w:val="none"/>
          <w:lang w:val="en-US" w:eastAsia="zh-CN"/>
        </w:rPr>
        <w:t>：</w:t>
      </w:r>
      <w:r>
        <w:rPr>
          <w:rFonts w:hint="eastAsia"/>
          <w:color w:val="auto"/>
          <w:highlight w:val="none"/>
          <w:lang w:val="en-US" w:eastAsia="zh-CN"/>
        </w:rPr>
        <w:t>网络和信息系统运维及网络安全数据。如网络和信息系统的配置数据、网络安全监测数据、备份数据、日志数据、安全漏洞信息等。</w:t>
      </w:r>
    </w:p>
    <w:p>
      <w:pPr>
        <w:pStyle w:val="26"/>
        <w:bidi w:val="0"/>
        <w:outlineLvl w:val="1"/>
        <w:rPr>
          <w:rFonts w:hint="default"/>
          <w:lang w:val="en-US" w:eastAsia="zh-CN"/>
        </w:rPr>
      </w:pPr>
      <w:bookmarkStart w:id="238" w:name="_Toc17992"/>
      <w:bookmarkStart w:id="239" w:name="_Toc16922"/>
      <w:bookmarkStart w:id="240" w:name="_Toc2580"/>
      <w:bookmarkStart w:id="241" w:name="_Toc14208"/>
      <w:bookmarkStart w:id="242" w:name="_Toc31008"/>
      <w:r>
        <w:rPr>
          <w:rFonts w:hint="eastAsia"/>
          <w:lang w:val="en-US" w:eastAsia="zh-CN"/>
        </w:rPr>
        <w:t>系统层级维度</w:t>
      </w:r>
      <w:bookmarkEnd w:id="238"/>
      <w:bookmarkEnd w:id="239"/>
      <w:bookmarkEnd w:id="240"/>
      <w:bookmarkEnd w:id="241"/>
      <w:bookmarkEnd w:id="242"/>
    </w:p>
    <w:p>
      <w:pPr>
        <w:pStyle w:val="25"/>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系统层级是指与企业生产活动相关的组织结构的层级划分</w:t>
      </w:r>
      <w:r>
        <w:rPr>
          <w:rFonts w:hint="eastAsia" w:hAnsi="宋体" w:cs="宋体"/>
          <w:color w:val="auto"/>
          <w:sz w:val="21"/>
          <w:szCs w:val="21"/>
          <w:highlight w:val="none"/>
          <w:lang w:val="en-US" w:eastAsia="zh-CN"/>
        </w:rPr>
        <w:t>，工业数据按照系统层级维度分类</w:t>
      </w:r>
      <w:r>
        <w:rPr>
          <w:rFonts w:hint="default" w:ascii="宋体" w:hAnsi="宋体" w:eastAsia="宋体" w:cs="宋体"/>
          <w:color w:val="auto"/>
          <w:sz w:val="21"/>
          <w:szCs w:val="21"/>
          <w:highlight w:val="none"/>
          <w:lang w:val="en-US" w:eastAsia="zh-CN"/>
        </w:rPr>
        <w:t>包括设备层、单元层、</w:t>
      </w:r>
      <w:r>
        <w:rPr>
          <w:rFonts w:hint="eastAsia" w:hAnsi="宋体" w:cs="宋体"/>
          <w:color w:val="auto"/>
          <w:sz w:val="21"/>
          <w:szCs w:val="21"/>
          <w:highlight w:val="none"/>
          <w:lang w:val="en-US" w:eastAsia="zh-CN"/>
        </w:rPr>
        <w:t>生产</w:t>
      </w:r>
      <w:r>
        <w:rPr>
          <w:rFonts w:hint="default" w:ascii="宋体" w:hAnsi="宋体" w:eastAsia="宋体" w:cs="宋体"/>
          <w:color w:val="auto"/>
          <w:sz w:val="21"/>
          <w:szCs w:val="21"/>
          <w:highlight w:val="none"/>
          <w:lang w:val="en-US" w:eastAsia="zh-CN"/>
        </w:rPr>
        <w:t>层、企业层和协同层。</w:t>
      </w:r>
    </w:p>
    <w:p>
      <w:pPr>
        <w:pStyle w:val="25"/>
        <w:numPr>
          <w:ilvl w:val="0"/>
          <w:numId w:val="26"/>
        </w:numPr>
        <w:tabs>
          <w:tab w:val="clear" w:pos="0"/>
        </w:tabs>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设备层</w:t>
      </w:r>
      <w:r>
        <w:rPr>
          <w:rFonts w:hint="eastAsia" w:ascii="宋体" w:hAnsi="宋体"/>
          <w:color w:val="auto"/>
          <w:highlight w:val="none"/>
          <w:lang w:val="en-US" w:eastAsia="zh-CN"/>
        </w:rPr>
        <w:t>：</w:t>
      </w:r>
      <w:r>
        <w:rPr>
          <w:rFonts w:hint="eastAsia"/>
          <w:color w:val="auto"/>
          <w:highlight w:val="none"/>
          <w:lang w:val="en-US" w:eastAsia="zh-CN"/>
        </w:rPr>
        <w:t>包括设备数据、工装数据以及状态数据等。</w:t>
      </w:r>
    </w:p>
    <w:p>
      <w:pPr>
        <w:pStyle w:val="25"/>
        <w:numPr>
          <w:ilvl w:val="0"/>
          <w:numId w:val="26"/>
        </w:numPr>
        <w:tabs>
          <w:tab w:val="clear" w:pos="0"/>
        </w:tabs>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单元层</w:t>
      </w:r>
      <w:r>
        <w:rPr>
          <w:rFonts w:hint="eastAsia" w:ascii="宋体" w:hAnsi="宋体"/>
          <w:color w:val="auto"/>
          <w:highlight w:val="none"/>
          <w:lang w:val="en-US" w:eastAsia="zh-CN"/>
        </w:rPr>
        <w:t>：</w:t>
      </w:r>
      <w:r>
        <w:rPr>
          <w:rFonts w:hint="eastAsia"/>
          <w:color w:val="auto"/>
          <w:highlight w:val="none"/>
          <w:lang w:val="en-US" w:eastAsia="zh-CN"/>
        </w:rPr>
        <w:t>包括经过处理的设备层数据、控制系统数据以及网络参数数据等。</w:t>
      </w:r>
    </w:p>
    <w:p>
      <w:pPr>
        <w:pStyle w:val="25"/>
        <w:numPr>
          <w:ilvl w:val="0"/>
          <w:numId w:val="26"/>
        </w:numPr>
        <w:tabs>
          <w:tab w:val="clear" w:pos="0"/>
        </w:tabs>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生产层</w:t>
      </w:r>
      <w:r>
        <w:rPr>
          <w:rFonts w:hint="eastAsia" w:ascii="宋体" w:hAnsi="宋体"/>
          <w:color w:val="auto"/>
          <w:highlight w:val="none"/>
          <w:lang w:val="en-US" w:eastAsia="zh-CN"/>
        </w:rPr>
        <w:t>：</w:t>
      </w:r>
      <w:r>
        <w:rPr>
          <w:rFonts w:hint="eastAsia"/>
          <w:color w:val="auto"/>
          <w:highlight w:val="none"/>
          <w:lang w:val="en-US" w:eastAsia="zh-CN"/>
        </w:rPr>
        <w:t>包括经过处理的单元层数据、管理数据、工艺数据、质量数据、作业过程数据、物料数据、计划数据、安全环保数据以及计量数据等。</w:t>
      </w:r>
    </w:p>
    <w:p>
      <w:pPr>
        <w:pStyle w:val="25"/>
        <w:numPr>
          <w:ilvl w:val="0"/>
          <w:numId w:val="26"/>
        </w:numPr>
        <w:tabs>
          <w:tab w:val="clear" w:pos="0"/>
        </w:tabs>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企业层</w:t>
      </w:r>
      <w:r>
        <w:rPr>
          <w:rFonts w:hint="eastAsia" w:ascii="宋体" w:hAnsi="宋体"/>
          <w:color w:val="auto"/>
          <w:highlight w:val="none"/>
          <w:lang w:val="en-US" w:eastAsia="zh-CN"/>
        </w:rPr>
        <w:t>：</w:t>
      </w:r>
      <w:r>
        <w:rPr>
          <w:rFonts w:hint="eastAsia"/>
          <w:color w:val="auto"/>
          <w:highlight w:val="none"/>
          <w:lang w:val="en-US" w:eastAsia="zh-CN"/>
        </w:rPr>
        <w:t>经过处理的车间层数据、技术数据、成本数据、财务数据、人力资源数据、采购销售数据、供应链数据、生产计划数据、调度数据、质量数据、售后服务数据以及网络安全数据等。</w:t>
      </w:r>
    </w:p>
    <w:p>
      <w:pPr>
        <w:pStyle w:val="25"/>
        <w:numPr>
          <w:ilvl w:val="0"/>
          <w:numId w:val="26"/>
        </w:numPr>
        <w:tabs>
          <w:tab w:val="clear" w:pos="0"/>
        </w:tabs>
        <w:spacing w:line="360" w:lineRule="auto"/>
        <w:ind w:left="840" w:leftChars="0" w:hanging="420" w:firstLineChars="0"/>
        <w:rPr>
          <w:rFonts w:hint="default"/>
          <w:color w:val="auto"/>
          <w:highlight w:val="none"/>
          <w:lang w:val="en-US" w:eastAsia="zh-CN"/>
        </w:rPr>
      </w:pPr>
      <w:r>
        <w:rPr>
          <w:rFonts w:hint="eastAsia"/>
          <w:color w:val="auto"/>
          <w:highlight w:val="none"/>
          <w:lang w:val="en-US" w:eastAsia="zh-CN"/>
        </w:rPr>
        <w:t>协同层</w:t>
      </w:r>
      <w:r>
        <w:rPr>
          <w:rFonts w:hint="eastAsia" w:ascii="宋体" w:hAnsi="宋体"/>
          <w:color w:val="auto"/>
          <w:highlight w:val="none"/>
          <w:lang w:val="en-US" w:eastAsia="zh-CN"/>
        </w:rPr>
        <w:t>：</w:t>
      </w:r>
      <w:r>
        <w:rPr>
          <w:rFonts w:hint="eastAsia"/>
          <w:color w:val="auto"/>
          <w:highlight w:val="none"/>
          <w:lang w:val="en-US" w:eastAsia="zh-CN"/>
        </w:rPr>
        <w:t>包括协同策略数据、协同管理数据等。</w:t>
      </w:r>
    </w:p>
    <w:p>
      <w:pPr>
        <w:pStyle w:val="26"/>
        <w:bidi w:val="0"/>
        <w:outlineLvl w:val="1"/>
        <w:rPr>
          <w:rFonts w:hint="default"/>
          <w:lang w:val="en-US" w:eastAsia="zh-CN"/>
        </w:rPr>
      </w:pPr>
      <w:bookmarkStart w:id="243" w:name="_Toc24563"/>
      <w:bookmarkStart w:id="244" w:name="_Toc18058"/>
      <w:bookmarkStart w:id="245" w:name="_Toc20459"/>
      <w:bookmarkStart w:id="246" w:name="_Toc4928"/>
      <w:bookmarkStart w:id="247" w:name="_Toc19896"/>
      <w:r>
        <w:rPr>
          <w:rFonts w:hint="eastAsia"/>
          <w:lang w:val="en-US" w:eastAsia="zh-CN"/>
        </w:rPr>
        <w:t>生产周期维度</w:t>
      </w:r>
      <w:bookmarkEnd w:id="243"/>
      <w:bookmarkEnd w:id="244"/>
      <w:bookmarkEnd w:id="245"/>
      <w:bookmarkEnd w:id="246"/>
      <w:bookmarkEnd w:id="247"/>
    </w:p>
    <w:p>
      <w:pPr>
        <w:pStyle w:val="25"/>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产品</w:t>
      </w:r>
      <w:r>
        <w:rPr>
          <w:rFonts w:hint="default" w:ascii="宋体" w:hAnsi="宋体" w:eastAsia="宋体" w:cs="宋体"/>
          <w:color w:val="auto"/>
          <w:sz w:val="21"/>
          <w:szCs w:val="21"/>
          <w:highlight w:val="none"/>
          <w:lang w:val="en-US" w:eastAsia="zh-CN"/>
        </w:rPr>
        <w:t>生命周期是指从产品原型研发开始到产品回收再制造的各个阶段，包括设计、生产、物流、销售、服务等一系列相互联系的价值创造活动。</w:t>
      </w:r>
    </w:p>
    <w:p>
      <w:pPr>
        <w:pStyle w:val="25"/>
        <w:numPr>
          <w:ilvl w:val="0"/>
          <w:numId w:val="27"/>
        </w:numPr>
        <w:tabs>
          <w:tab w:val="clear" w:pos="0"/>
        </w:tabs>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设计阶段</w:t>
      </w:r>
      <w:r>
        <w:rPr>
          <w:rFonts w:hint="eastAsia" w:ascii="宋体" w:hAnsi="宋体"/>
          <w:color w:val="auto"/>
          <w:highlight w:val="none"/>
          <w:lang w:val="en-US" w:eastAsia="zh-CN"/>
        </w:rPr>
        <w:t>：</w:t>
      </w:r>
      <w:r>
        <w:rPr>
          <w:rFonts w:hint="eastAsia"/>
          <w:color w:val="auto"/>
          <w:highlight w:val="none"/>
          <w:lang w:val="en-US" w:eastAsia="zh-CN"/>
        </w:rPr>
        <w:t>工业产品在设计阶段产生的数据，包括产品物料清单数据、产品配方数据、工艺产能数据、工艺设计数据、设计规划数据、概念设计数据、技术设计数据、详细设计数据、方案实施数据、样品制作数据、设计仿真数据、工艺仿真数据、产品设计需求输入数据等。</w:t>
      </w:r>
    </w:p>
    <w:p>
      <w:pPr>
        <w:pStyle w:val="25"/>
        <w:numPr>
          <w:ilvl w:val="0"/>
          <w:numId w:val="27"/>
        </w:numPr>
        <w:tabs>
          <w:tab w:val="clear" w:pos="0"/>
        </w:tabs>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生产阶段</w:t>
      </w:r>
      <w:r>
        <w:rPr>
          <w:rFonts w:hint="eastAsia" w:ascii="宋体" w:hAnsi="宋体"/>
          <w:color w:val="auto"/>
          <w:highlight w:val="none"/>
          <w:lang w:val="en-US" w:eastAsia="zh-CN"/>
        </w:rPr>
        <w:t>：</w:t>
      </w:r>
      <w:r>
        <w:rPr>
          <w:rFonts w:hint="eastAsia"/>
          <w:color w:val="auto"/>
          <w:highlight w:val="none"/>
          <w:lang w:val="en-US" w:eastAsia="zh-CN"/>
        </w:rPr>
        <w:t>工业产品在生产阶段产生的数据，包括原料配比数据、计划调度数据、工艺运行数据、设备状态数据、设备故障数据、设备维修数据、产品质量数据、生产成本数据、生产能耗数据、生产安全数据、环保排放数据、运行人员数据、生产计划管理数据、生产技术准备数据；生产订单管理数据、生产领料管理数据、生产过程管理数据、生产外协管理数据、生产质量管理数据、生产完工管理数据、生产仿真管理数据以及设备管理数据等。</w:t>
      </w:r>
    </w:p>
    <w:p>
      <w:pPr>
        <w:pStyle w:val="25"/>
        <w:numPr>
          <w:ilvl w:val="0"/>
          <w:numId w:val="27"/>
        </w:numPr>
        <w:tabs>
          <w:tab w:val="clear" w:pos="0"/>
        </w:tabs>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物流阶段</w:t>
      </w:r>
      <w:r>
        <w:rPr>
          <w:rFonts w:hint="eastAsia" w:ascii="宋体" w:hAnsi="宋体"/>
          <w:color w:val="auto"/>
          <w:highlight w:val="none"/>
          <w:lang w:val="en-US" w:eastAsia="zh-CN"/>
        </w:rPr>
        <w:t>：</w:t>
      </w:r>
      <w:r>
        <w:rPr>
          <w:rFonts w:hint="eastAsia"/>
          <w:color w:val="auto"/>
          <w:highlight w:val="none"/>
          <w:lang w:val="en-US" w:eastAsia="zh-CN"/>
        </w:rPr>
        <w:t>工业产品在物流阶段产生的数据，包括采购计划数据、采购方案数据、采购订单数据、采购合同数据、采购执行过程数据、发票管理数据、应付款管理数据、退/换货管理数据、供方管理数据、产品仓储数据、物流运输数据、采购计划管理数据、采购方案管理数据、采购订单管理数据、采购收货管理数据、发票管理数据、应付款管理数据、退/换货管理数据、供应商管理数据、仓储管理数据以及配送管理数据等。</w:t>
      </w:r>
    </w:p>
    <w:p>
      <w:pPr>
        <w:pStyle w:val="25"/>
        <w:numPr>
          <w:ilvl w:val="0"/>
          <w:numId w:val="27"/>
        </w:numPr>
        <w:tabs>
          <w:tab w:val="clear" w:pos="0"/>
        </w:tabs>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销售阶段</w:t>
      </w:r>
      <w:r>
        <w:rPr>
          <w:rFonts w:hint="eastAsia" w:ascii="宋体" w:hAnsi="宋体"/>
          <w:color w:val="auto"/>
          <w:highlight w:val="none"/>
          <w:lang w:val="en-US" w:eastAsia="zh-CN"/>
        </w:rPr>
        <w:t>：</w:t>
      </w:r>
      <w:r>
        <w:rPr>
          <w:rFonts w:hint="eastAsia"/>
          <w:color w:val="auto"/>
          <w:highlight w:val="none"/>
          <w:lang w:val="en-US" w:eastAsia="zh-CN"/>
        </w:rPr>
        <w:t>工业产品在物流阶段产生的数据，包括市场预测数据、资金管理数据、风险管理数据、客户管理数据、销售计划数据、销售报价数据、销售订单数据、销售合同数据、发票管理数据、应收款管理数据、潜在客户管理数据、销售计划数据、销售报价数据、销售订单数据、交换管理数据、发票管理数据、应收款管理数据、退/换货管理数据、客户管理数据以及销售合同管理数据等。</w:t>
      </w:r>
    </w:p>
    <w:p>
      <w:pPr>
        <w:pStyle w:val="25"/>
        <w:numPr>
          <w:ilvl w:val="0"/>
          <w:numId w:val="27"/>
        </w:numPr>
        <w:tabs>
          <w:tab w:val="clear" w:pos="0"/>
        </w:tabs>
        <w:spacing w:line="360" w:lineRule="auto"/>
        <w:ind w:left="840" w:leftChars="0" w:hanging="420" w:firstLineChars="0"/>
        <w:rPr>
          <w:rFonts w:hint="eastAsia"/>
          <w:highlight w:val="none"/>
          <w:lang w:val="en-US" w:eastAsia="zh-CN"/>
        </w:rPr>
      </w:pPr>
      <w:r>
        <w:rPr>
          <w:rFonts w:hint="eastAsia"/>
          <w:color w:val="auto"/>
          <w:highlight w:val="none"/>
          <w:lang w:val="en-US" w:eastAsia="zh-CN"/>
        </w:rPr>
        <w:t>服务阶段</w:t>
      </w:r>
      <w:r>
        <w:rPr>
          <w:rFonts w:hint="eastAsia" w:ascii="宋体" w:hAnsi="宋体"/>
          <w:color w:val="auto"/>
          <w:highlight w:val="none"/>
          <w:lang w:val="en-US" w:eastAsia="zh-CN"/>
        </w:rPr>
        <w:t>：</w:t>
      </w:r>
      <w:r>
        <w:rPr>
          <w:rFonts w:hint="eastAsia"/>
          <w:color w:val="auto"/>
          <w:highlight w:val="none"/>
          <w:lang w:val="en-US" w:eastAsia="zh-CN"/>
        </w:rPr>
        <w:t>工业产品在服务阶段产生的数据，包括客户满意度数据、产品使用反馈数据、维修服务数据、维护服务数据、增值服务数据以及报废/回收数据等。</w:t>
      </w:r>
    </w:p>
    <w:p>
      <w:pPr>
        <w:pStyle w:val="26"/>
        <w:bidi w:val="0"/>
        <w:outlineLvl w:val="1"/>
        <w:rPr>
          <w:rFonts w:hint="eastAsia"/>
          <w:lang w:val="en-US" w:eastAsia="zh-CN"/>
        </w:rPr>
      </w:pPr>
      <w:bookmarkStart w:id="248" w:name="_Toc792"/>
      <w:bookmarkStart w:id="249" w:name="_Toc4421"/>
      <w:bookmarkStart w:id="250" w:name="_Toc1482"/>
      <w:bookmarkStart w:id="251" w:name="_Toc13861"/>
      <w:r>
        <w:rPr>
          <w:rFonts w:hint="eastAsia"/>
          <w:lang w:val="en-US" w:eastAsia="zh-CN"/>
        </w:rPr>
        <w:t>数据共享属性维度</w:t>
      </w:r>
      <w:bookmarkEnd w:id="248"/>
      <w:bookmarkEnd w:id="249"/>
      <w:bookmarkEnd w:id="250"/>
      <w:bookmarkEnd w:id="251"/>
    </w:p>
    <w:p>
      <w:pPr>
        <w:pStyle w:val="25"/>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根据数据共享属性可分为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无条件共享类、受限共享类和不共享类。</w:t>
      </w:r>
    </w:p>
    <w:p>
      <w:pPr>
        <w:pStyle w:val="25"/>
        <w:numPr>
          <w:ilvl w:val="0"/>
          <w:numId w:val="28"/>
        </w:numPr>
        <w:tabs>
          <w:tab w:val="clear" w:pos="0"/>
        </w:tabs>
        <w:spacing w:line="360" w:lineRule="auto"/>
        <w:ind w:left="84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可以提供给所有</w:t>
      </w:r>
      <w:r>
        <w:rPr>
          <w:rFonts w:hint="eastAsia" w:hAnsi="宋体" w:cs="宋体"/>
          <w:color w:val="auto"/>
          <w:sz w:val="21"/>
          <w:szCs w:val="21"/>
          <w:highlight w:val="none"/>
          <w:lang w:val="en-US" w:eastAsia="zh-CN"/>
        </w:rPr>
        <w:t>企业</w:t>
      </w:r>
      <w:r>
        <w:rPr>
          <w:rFonts w:hint="eastAsia" w:ascii="宋体" w:hAnsi="宋体" w:eastAsia="宋体" w:cs="宋体"/>
          <w:color w:val="auto"/>
          <w:sz w:val="21"/>
          <w:szCs w:val="21"/>
          <w:highlight w:val="none"/>
          <w:lang w:val="en-US" w:eastAsia="zh-CN"/>
        </w:rPr>
        <w:t>共享使用的，为无条件共享数据。</w:t>
      </w:r>
    </w:p>
    <w:p>
      <w:pPr>
        <w:pStyle w:val="25"/>
        <w:numPr>
          <w:ilvl w:val="0"/>
          <w:numId w:val="28"/>
        </w:numPr>
        <w:tabs>
          <w:tab w:val="clear" w:pos="0"/>
        </w:tabs>
        <w:spacing w:line="360" w:lineRule="auto"/>
        <w:ind w:left="84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可以部分提供或者按照特定要求提供给相关</w:t>
      </w:r>
      <w:r>
        <w:rPr>
          <w:rFonts w:hint="eastAsia" w:hAnsi="宋体" w:cs="宋体"/>
          <w:color w:val="auto"/>
          <w:sz w:val="21"/>
          <w:szCs w:val="21"/>
          <w:highlight w:val="none"/>
          <w:lang w:val="en-US" w:eastAsia="zh-CN"/>
        </w:rPr>
        <w:t>企业</w:t>
      </w:r>
      <w:r>
        <w:rPr>
          <w:rFonts w:hint="eastAsia" w:ascii="宋体" w:hAnsi="宋体" w:eastAsia="宋体" w:cs="宋体"/>
          <w:color w:val="auto"/>
          <w:sz w:val="21"/>
          <w:szCs w:val="21"/>
          <w:highlight w:val="none"/>
          <w:lang w:val="en-US" w:eastAsia="zh-CN"/>
        </w:rPr>
        <w:t>共享使用的，为受限共享数据。</w:t>
      </w:r>
    </w:p>
    <w:p>
      <w:pPr>
        <w:pStyle w:val="25"/>
        <w:numPr>
          <w:ilvl w:val="0"/>
          <w:numId w:val="28"/>
        </w:numPr>
        <w:tabs>
          <w:tab w:val="clear" w:pos="0"/>
        </w:tabs>
        <w:spacing w:line="360" w:lineRule="auto"/>
        <w:ind w:left="84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列入受限共享数据的，数据提供单位应当明确共享条件。</w:t>
      </w:r>
    </w:p>
    <w:p>
      <w:pPr>
        <w:pStyle w:val="25"/>
        <w:numPr>
          <w:ilvl w:val="0"/>
          <w:numId w:val="28"/>
        </w:numPr>
        <w:tabs>
          <w:tab w:val="clear" w:pos="0"/>
        </w:tabs>
        <w:spacing w:line="360" w:lineRule="auto"/>
        <w:ind w:left="84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不宜提供给其他</w:t>
      </w:r>
      <w:r>
        <w:rPr>
          <w:rFonts w:hint="eastAsia" w:hAnsi="宋体" w:cs="宋体"/>
          <w:color w:val="auto"/>
          <w:sz w:val="21"/>
          <w:szCs w:val="21"/>
          <w:highlight w:val="none"/>
          <w:lang w:val="en-US" w:eastAsia="zh-CN"/>
        </w:rPr>
        <w:t>企业</w:t>
      </w:r>
      <w:r>
        <w:rPr>
          <w:rFonts w:hint="eastAsia" w:ascii="宋体" w:hAnsi="宋体" w:eastAsia="宋体" w:cs="宋体"/>
          <w:color w:val="auto"/>
          <w:sz w:val="21"/>
          <w:szCs w:val="21"/>
          <w:highlight w:val="none"/>
          <w:lang w:val="en-US" w:eastAsia="zh-CN"/>
        </w:rPr>
        <w:t>共享使用的，为不共享数据。列入不共享数据的，应当有明确的法律、法规、规章依据和国家、省有关要求。</w:t>
      </w:r>
    </w:p>
    <w:p>
      <w:pPr>
        <w:pStyle w:val="25"/>
        <w:numPr>
          <w:ilvl w:val="0"/>
          <w:numId w:val="28"/>
        </w:numPr>
        <w:tabs>
          <w:tab w:val="clear" w:pos="0"/>
        </w:tabs>
        <w:spacing w:line="360" w:lineRule="auto"/>
        <w:ind w:left="84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列入受限共享和不共享的数据,可以经脱敏、脱密等处理后向</w:t>
      </w:r>
      <w:r>
        <w:rPr>
          <w:rFonts w:hint="eastAsia" w:hAnsi="宋体" w:cs="宋体"/>
          <w:color w:val="auto"/>
          <w:sz w:val="21"/>
          <w:szCs w:val="21"/>
          <w:highlight w:val="none"/>
          <w:lang w:val="en-US" w:eastAsia="zh-CN"/>
        </w:rPr>
        <w:t>其他企业</w:t>
      </w:r>
      <w:r>
        <w:rPr>
          <w:rFonts w:hint="eastAsia" w:ascii="宋体" w:hAnsi="宋体" w:eastAsia="宋体" w:cs="宋体"/>
          <w:color w:val="auto"/>
          <w:sz w:val="21"/>
          <w:szCs w:val="21"/>
          <w:highlight w:val="none"/>
          <w:lang w:val="en-US" w:eastAsia="zh-CN"/>
        </w:rPr>
        <w:t>提供，法律</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法规另有规定的除外。</w:t>
      </w:r>
    </w:p>
    <w:p>
      <w:pPr>
        <w:pStyle w:val="26"/>
        <w:bidi w:val="0"/>
        <w:outlineLvl w:val="1"/>
        <w:rPr>
          <w:rFonts w:hint="default"/>
          <w:color w:val="auto"/>
          <w:highlight w:val="none"/>
          <w:lang w:val="en-US" w:eastAsia="zh-CN"/>
        </w:rPr>
      </w:pPr>
      <w:bookmarkStart w:id="252" w:name="_Toc15442"/>
      <w:bookmarkStart w:id="253" w:name="_Toc17884"/>
      <w:bookmarkStart w:id="254" w:name="_Toc28859"/>
      <w:bookmarkStart w:id="255" w:name="_Toc2981"/>
      <w:r>
        <w:rPr>
          <w:rFonts w:hint="eastAsia"/>
          <w:color w:val="auto"/>
          <w:highlight w:val="none"/>
          <w:lang w:val="en-US" w:eastAsia="zh-CN"/>
        </w:rPr>
        <w:t>数据开放属性维度</w:t>
      </w:r>
      <w:bookmarkEnd w:id="252"/>
      <w:bookmarkEnd w:id="253"/>
      <w:bookmarkEnd w:id="254"/>
      <w:bookmarkEnd w:id="255"/>
    </w:p>
    <w:p>
      <w:pPr>
        <w:pStyle w:val="25"/>
        <w:spacing w:line="360" w:lineRule="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根据数据开放属性可分为</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禁止开放类、受限开放类、无条件开放类。</w:t>
      </w:r>
    </w:p>
    <w:p>
      <w:pPr>
        <w:pStyle w:val="25"/>
        <w:numPr>
          <w:ilvl w:val="0"/>
          <w:numId w:val="29"/>
        </w:numPr>
        <w:tabs>
          <w:tab w:val="clear" w:pos="0"/>
        </w:tabs>
        <w:spacing w:line="360" w:lineRule="auto"/>
        <w:ind w:left="840" w:leftChars="0" w:hanging="420" w:firstLineChars="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禁止开放类包括</w:t>
      </w:r>
      <w:r>
        <w:rPr>
          <w:rFonts w:hint="eastAsia" w:ascii="宋体" w:hAnsi="宋体" w:cs="宋体"/>
          <w:color w:val="auto"/>
          <w:sz w:val="21"/>
          <w:szCs w:val="21"/>
          <w:highlight w:val="none"/>
          <w:lang w:val="en-US" w:eastAsia="zh-CN"/>
        </w:rPr>
        <w:t>：</w:t>
      </w:r>
    </w:p>
    <w:p>
      <w:pPr>
        <w:pStyle w:val="25"/>
        <w:keepNext w:val="0"/>
        <w:keepLines w:val="0"/>
        <w:pageBreakBefore w:val="0"/>
        <w:widowControl/>
        <w:numPr>
          <w:ilvl w:val="0"/>
          <w:numId w:val="30"/>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开放后危及国家安全、公共安全、经济安全和社会稳定的</w:t>
      </w:r>
      <w:r>
        <w:rPr>
          <w:rFonts w:hint="eastAsia" w:hAnsi="宋体" w:cs="宋体"/>
          <w:color w:val="auto"/>
          <w:sz w:val="21"/>
          <w:szCs w:val="21"/>
          <w:highlight w:val="none"/>
          <w:lang w:val="en-US" w:eastAsia="zh-CN"/>
        </w:rPr>
        <w:t>数据。</w:t>
      </w:r>
    </w:p>
    <w:p>
      <w:pPr>
        <w:pStyle w:val="25"/>
        <w:keepNext w:val="0"/>
        <w:keepLines w:val="0"/>
        <w:pageBreakBefore w:val="0"/>
        <w:widowControl/>
        <w:numPr>
          <w:ilvl w:val="0"/>
          <w:numId w:val="30"/>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涉及商业秘密、个人隐私的</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30"/>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因数据获取协议或者知识产权保护等禁止开放的</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30"/>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法律、法规规定不得开放的。</w:t>
      </w:r>
    </w:p>
    <w:p>
      <w:pPr>
        <w:pStyle w:val="25"/>
        <w:numPr>
          <w:ilvl w:val="0"/>
          <w:numId w:val="29"/>
        </w:numPr>
        <w:tabs>
          <w:tab w:val="clear" w:pos="0"/>
        </w:tabs>
        <w:spacing w:line="360" w:lineRule="auto"/>
        <w:ind w:left="840" w:leftChars="0" w:hanging="420" w:firstLineChars="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受限开放类包括</w:t>
      </w:r>
      <w:r>
        <w:rPr>
          <w:rFonts w:hint="eastAsia" w:ascii="宋体" w:hAnsi="宋体" w:cs="宋体"/>
          <w:color w:val="auto"/>
          <w:sz w:val="21"/>
          <w:szCs w:val="21"/>
          <w:highlight w:val="none"/>
          <w:lang w:val="en-US" w:eastAsia="zh-CN"/>
        </w:rPr>
        <w:t>：</w:t>
      </w:r>
    </w:p>
    <w:p>
      <w:pPr>
        <w:pStyle w:val="25"/>
        <w:keepNext w:val="0"/>
        <w:keepLines w:val="0"/>
        <w:pageBreakBefore w:val="0"/>
        <w:widowControl/>
        <w:numPr>
          <w:ilvl w:val="0"/>
          <w:numId w:val="31"/>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涉及商业秘密、个人隐私，其指向的特定公民、法人或者其他组织同意开放，且法律、法规未禁止的</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31"/>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开放将严重挤占</w:t>
      </w:r>
      <w:r>
        <w:rPr>
          <w:rFonts w:hint="eastAsia" w:hAnsi="宋体" w:cs="宋体"/>
          <w:color w:val="auto"/>
          <w:sz w:val="21"/>
          <w:szCs w:val="21"/>
          <w:highlight w:val="none"/>
          <w:lang w:val="en-US" w:eastAsia="zh-CN"/>
        </w:rPr>
        <w:t>工业</w:t>
      </w:r>
      <w:r>
        <w:rPr>
          <w:rFonts w:hint="default" w:ascii="宋体" w:hAnsi="宋体" w:eastAsia="宋体" w:cs="宋体"/>
          <w:color w:val="auto"/>
          <w:sz w:val="21"/>
          <w:szCs w:val="21"/>
          <w:highlight w:val="none"/>
          <w:lang w:val="en-US" w:eastAsia="zh-CN"/>
        </w:rPr>
        <w:t>基础设施资源，影响</w:t>
      </w:r>
      <w:r>
        <w:rPr>
          <w:rFonts w:hint="eastAsia" w:hAnsi="宋体" w:cs="宋体"/>
          <w:color w:val="auto"/>
          <w:sz w:val="21"/>
          <w:szCs w:val="21"/>
          <w:highlight w:val="none"/>
          <w:lang w:val="en-US" w:eastAsia="zh-CN"/>
        </w:rPr>
        <w:t>工业</w:t>
      </w:r>
      <w:r>
        <w:rPr>
          <w:rFonts w:hint="default" w:ascii="宋体" w:hAnsi="宋体" w:eastAsia="宋体" w:cs="宋体"/>
          <w:color w:val="auto"/>
          <w:sz w:val="21"/>
          <w:szCs w:val="21"/>
          <w:highlight w:val="none"/>
          <w:lang w:val="en-US" w:eastAsia="zh-CN"/>
        </w:rPr>
        <w:t>数据处理效率的</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31"/>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开放安全风险难以评估的</w:t>
      </w:r>
      <w:r>
        <w:rPr>
          <w:rFonts w:hint="eastAsia" w:hAnsi="宋体" w:cs="宋体"/>
          <w:color w:val="auto"/>
          <w:sz w:val="21"/>
          <w:szCs w:val="21"/>
          <w:highlight w:val="none"/>
          <w:lang w:val="en-US" w:eastAsia="zh-CN"/>
        </w:rPr>
        <w:t>。</w:t>
      </w:r>
    </w:p>
    <w:p>
      <w:pPr>
        <w:pStyle w:val="25"/>
        <w:keepNext w:val="0"/>
        <w:keepLines w:val="0"/>
        <w:pageBreakBefore w:val="0"/>
        <w:widowControl/>
        <w:numPr>
          <w:ilvl w:val="0"/>
          <w:numId w:val="31"/>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依法经脱敏、脱密等处理的禁止开放类</w:t>
      </w:r>
      <w:r>
        <w:rPr>
          <w:rFonts w:hint="eastAsia" w:hAnsi="宋体" w:cs="宋体"/>
          <w:color w:val="auto"/>
          <w:sz w:val="21"/>
          <w:szCs w:val="21"/>
          <w:highlight w:val="none"/>
          <w:lang w:val="en-US" w:eastAsia="zh-CN"/>
        </w:rPr>
        <w:t>工业</w:t>
      </w:r>
      <w:r>
        <w:rPr>
          <w:rFonts w:hint="default" w:ascii="宋体" w:hAnsi="宋体" w:eastAsia="宋体" w:cs="宋体"/>
          <w:color w:val="auto"/>
          <w:sz w:val="21"/>
          <w:szCs w:val="21"/>
          <w:highlight w:val="none"/>
          <w:lang w:val="en-US" w:eastAsia="zh-CN"/>
        </w:rPr>
        <w:t>数据，符合受限开放的，应列为受限开放类</w:t>
      </w:r>
      <w:r>
        <w:rPr>
          <w:rFonts w:hint="eastAsia" w:hAnsi="宋体" w:cs="宋体"/>
          <w:color w:val="auto"/>
          <w:sz w:val="21"/>
          <w:szCs w:val="21"/>
          <w:highlight w:val="none"/>
          <w:lang w:val="en-US" w:eastAsia="zh-CN"/>
        </w:rPr>
        <w:t>工业</w:t>
      </w:r>
      <w:r>
        <w:rPr>
          <w:rFonts w:hint="default" w:ascii="宋体" w:hAnsi="宋体" w:eastAsia="宋体" w:cs="宋体"/>
          <w:color w:val="auto"/>
          <w:sz w:val="21"/>
          <w:szCs w:val="21"/>
          <w:highlight w:val="none"/>
          <w:lang w:val="en-US" w:eastAsia="zh-CN"/>
        </w:rPr>
        <w:t>数据。</w:t>
      </w:r>
    </w:p>
    <w:p>
      <w:pPr>
        <w:pStyle w:val="25"/>
        <w:numPr>
          <w:ilvl w:val="0"/>
          <w:numId w:val="29"/>
        </w:numPr>
        <w:tabs>
          <w:tab w:val="clear" w:pos="0"/>
        </w:tabs>
        <w:spacing w:line="360" w:lineRule="auto"/>
        <w:ind w:left="840" w:leftChars="0" w:hanging="420" w:firstLineChars="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无条件开放类包括</w:t>
      </w:r>
      <w:r>
        <w:rPr>
          <w:rFonts w:hint="eastAsia" w:ascii="宋体" w:hAnsi="宋体" w:cs="宋体"/>
          <w:color w:val="auto"/>
          <w:sz w:val="21"/>
          <w:szCs w:val="21"/>
          <w:highlight w:val="none"/>
          <w:lang w:val="en-US" w:eastAsia="zh-CN"/>
        </w:rPr>
        <w:t>：</w:t>
      </w:r>
    </w:p>
    <w:p>
      <w:pPr>
        <w:pStyle w:val="25"/>
        <w:keepNext w:val="0"/>
        <w:keepLines w:val="0"/>
        <w:pageBreakBefore w:val="0"/>
        <w:widowControl/>
        <w:numPr>
          <w:ilvl w:val="0"/>
          <w:numId w:val="32"/>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除禁止开放类与受限开放类</w:t>
      </w:r>
      <w:r>
        <w:rPr>
          <w:rFonts w:hint="eastAsia" w:hAnsi="宋体" w:cs="宋体"/>
          <w:color w:val="auto"/>
          <w:sz w:val="21"/>
          <w:szCs w:val="21"/>
          <w:highlight w:val="none"/>
          <w:lang w:val="en-US" w:eastAsia="zh-CN"/>
        </w:rPr>
        <w:t>工业</w:t>
      </w:r>
      <w:r>
        <w:rPr>
          <w:rFonts w:hint="default" w:ascii="宋体" w:hAnsi="宋体" w:eastAsia="宋体" w:cs="宋体"/>
          <w:color w:val="auto"/>
          <w:sz w:val="21"/>
          <w:szCs w:val="21"/>
          <w:highlight w:val="none"/>
          <w:lang w:val="en-US" w:eastAsia="zh-CN"/>
        </w:rPr>
        <w:t>数据以外的其他</w:t>
      </w:r>
      <w:r>
        <w:rPr>
          <w:rFonts w:hint="eastAsia" w:hAnsi="宋体" w:cs="宋体"/>
          <w:color w:val="auto"/>
          <w:sz w:val="21"/>
          <w:szCs w:val="21"/>
          <w:highlight w:val="none"/>
          <w:lang w:val="en-US" w:eastAsia="zh-CN"/>
        </w:rPr>
        <w:t>工业</w:t>
      </w:r>
      <w:r>
        <w:rPr>
          <w:rFonts w:hint="default" w:ascii="宋体" w:hAnsi="宋体" w:eastAsia="宋体" w:cs="宋体"/>
          <w:color w:val="auto"/>
          <w:sz w:val="21"/>
          <w:szCs w:val="21"/>
          <w:highlight w:val="none"/>
          <w:lang w:val="en-US" w:eastAsia="zh-CN"/>
        </w:rPr>
        <w:t>数据</w:t>
      </w:r>
      <w:r>
        <w:rPr>
          <w:rFonts w:hint="eastAsia" w:hAnsi="宋体" w:cs="宋体"/>
          <w:color w:val="auto"/>
          <w:sz w:val="21"/>
          <w:szCs w:val="21"/>
          <w:highlight w:val="none"/>
          <w:lang w:val="en-US" w:eastAsia="zh-CN"/>
        </w:rPr>
        <w:t>。</w:t>
      </w:r>
    </w:p>
    <w:p>
      <w:pPr>
        <w:pStyle w:val="25"/>
        <w:numPr>
          <w:ilvl w:val="0"/>
          <w:numId w:val="32"/>
        </w:numPr>
        <w:tabs>
          <w:tab w:val="clear" w:pos="0"/>
        </w:tabs>
        <w:spacing w:line="360" w:lineRule="auto"/>
        <w:ind w:left="1259" w:leftChars="0" w:hanging="420" w:firstLineChars="0"/>
        <w:rPr>
          <w:rFonts w:hint="eastAsia"/>
          <w:highlight w:val="none"/>
          <w:lang w:val="en-US" w:eastAsia="zh-CN"/>
        </w:rPr>
      </w:pPr>
      <w:r>
        <w:rPr>
          <w:rFonts w:hint="default" w:ascii="宋体" w:hAnsi="宋体" w:eastAsia="宋体" w:cs="宋体"/>
          <w:color w:val="auto"/>
          <w:sz w:val="21"/>
          <w:szCs w:val="21"/>
          <w:highlight w:val="none"/>
          <w:lang w:val="en-US" w:eastAsia="zh-CN"/>
        </w:rPr>
        <w:t>已脱敏、脱密等处理的禁止开放类与受限开放类</w:t>
      </w:r>
      <w:r>
        <w:rPr>
          <w:rFonts w:hint="eastAsia" w:hAnsi="宋体" w:cs="宋体"/>
          <w:color w:val="auto"/>
          <w:sz w:val="21"/>
          <w:szCs w:val="21"/>
          <w:highlight w:val="none"/>
          <w:lang w:val="en-US" w:eastAsia="zh-CN"/>
        </w:rPr>
        <w:t>工业</w:t>
      </w:r>
      <w:r>
        <w:rPr>
          <w:rFonts w:hint="default" w:ascii="宋体" w:hAnsi="宋体" w:eastAsia="宋体" w:cs="宋体"/>
          <w:color w:val="auto"/>
          <w:sz w:val="21"/>
          <w:szCs w:val="21"/>
          <w:highlight w:val="none"/>
          <w:lang w:val="en-US" w:eastAsia="zh-CN"/>
        </w:rPr>
        <w:t>数据，符合无条件开放的，可列为无条件开放类</w:t>
      </w:r>
      <w:r>
        <w:rPr>
          <w:rFonts w:hint="eastAsia" w:hAnsi="宋体" w:cs="宋体"/>
          <w:color w:val="auto"/>
          <w:sz w:val="21"/>
          <w:szCs w:val="21"/>
          <w:highlight w:val="none"/>
          <w:lang w:val="en-US" w:eastAsia="zh-CN"/>
        </w:rPr>
        <w:t>工业</w:t>
      </w:r>
      <w:r>
        <w:rPr>
          <w:rFonts w:hint="default" w:ascii="宋体" w:hAnsi="宋体" w:eastAsia="宋体" w:cs="宋体"/>
          <w:color w:val="auto"/>
          <w:sz w:val="21"/>
          <w:szCs w:val="21"/>
          <w:highlight w:val="none"/>
          <w:lang w:val="en-US" w:eastAsia="zh-CN"/>
        </w:rPr>
        <w:t>数据。</w:t>
      </w:r>
    </w:p>
    <w:p>
      <w:pPr>
        <w:pStyle w:val="26"/>
        <w:bidi w:val="0"/>
        <w:outlineLvl w:val="1"/>
        <w:rPr>
          <w:rFonts w:hint="default"/>
          <w:lang w:val="en-US" w:eastAsia="zh-CN"/>
        </w:rPr>
      </w:pPr>
      <w:bookmarkStart w:id="256" w:name="_Toc7423"/>
      <w:bookmarkStart w:id="257" w:name="_Toc16717"/>
      <w:bookmarkStart w:id="258" w:name="_Toc27858"/>
      <w:bookmarkStart w:id="259" w:name="_Toc27664"/>
      <w:r>
        <w:rPr>
          <w:rFonts w:hint="eastAsia"/>
          <w:lang w:val="en-US" w:eastAsia="zh-CN"/>
        </w:rPr>
        <w:t>数据加工程度维度</w:t>
      </w:r>
      <w:bookmarkEnd w:id="256"/>
      <w:bookmarkEnd w:id="257"/>
      <w:bookmarkEnd w:id="258"/>
      <w:bookmarkEnd w:id="259"/>
    </w:p>
    <w:p>
      <w:pPr>
        <w:spacing w:line="360" w:lineRule="auto"/>
        <w:ind w:firstLine="420" w:firstLineChars="200"/>
        <w:rPr>
          <w:rFonts w:hint="default"/>
          <w:color w:val="auto"/>
          <w:highlight w:val="none"/>
          <w:lang w:val="en-US" w:eastAsia="zh-CN"/>
        </w:rPr>
      </w:pPr>
      <w:r>
        <w:rPr>
          <w:rFonts w:hint="eastAsia"/>
          <w:color w:val="auto"/>
          <w:highlight w:val="none"/>
          <w:lang w:val="en-US" w:eastAsia="zh-CN"/>
        </w:rPr>
        <w:t>工业数据</w:t>
      </w:r>
      <w:r>
        <w:rPr>
          <w:rFonts w:hint="default"/>
          <w:color w:val="auto"/>
          <w:highlight w:val="none"/>
          <w:lang w:val="en-US" w:eastAsia="zh-CN"/>
        </w:rPr>
        <w:t>按照数据加工程度不同，可分为原始数据、脱敏数据、标签数据、统计数据、融合数据，其中脱敏数据、标签数据、统计数据、融合数据均属于衍生数据。</w:t>
      </w:r>
    </w:p>
    <w:p>
      <w:pPr>
        <w:numPr>
          <w:ilvl w:val="0"/>
          <w:numId w:val="33"/>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原始数据</w:t>
      </w:r>
      <w:r>
        <w:rPr>
          <w:rFonts w:hint="eastAsia" w:ascii="宋体" w:hAnsi="宋体"/>
          <w:color w:val="auto"/>
          <w:highlight w:val="none"/>
          <w:lang w:val="en-US" w:eastAsia="zh-CN"/>
        </w:rPr>
        <w:t>：</w:t>
      </w:r>
      <w:r>
        <w:rPr>
          <w:rFonts w:hint="eastAsia"/>
          <w:color w:val="auto"/>
          <w:highlight w:val="none"/>
          <w:lang w:val="en-US" w:eastAsia="zh-CN"/>
        </w:rPr>
        <w:t>数据的原本形式和内容，未作任何加工处理。如采集的原始数据等。</w:t>
      </w:r>
    </w:p>
    <w:p>
      <w:pPr>
        <w:numPr>
          <w:ilvl w:val="0"/>
          <w:numId w:val="33"/>
        </w:numPr>
        <w:spacing w:line="360" w:lineRule="auto"/>
        <w:ind w:left="840" w:hanging="420"/>
        <w:rPr>
          <w:rFonts w:hint="eastAsia"/>
          <w:lang w:val="en-US" w:eastAsia="zh-CN"/>
        </w:rPr>
      </w:pPr>
      <w:r>
        <w:rPr>
          <w:rFonts w:hint="default"/>
          <w:color w:val="auto"/>
          <w:highlight w:val="none"/>
          <w:lang w:val="en-US" w:eastAsia="zh-CN"/>
        </w:rPr>
        <w:t>标签数据</w:t>
      </w:r>
      <w:r>
        <w:rPr>
          <w:rFonts w:hint="eastAsia" w:ascii="宋体" w:hAnsi="宋体"/>
          <w:color w:val="auto"/>
          <w:highlight w:val="none"/>
          <w:lang w:val="en-US" w:eastAsia="zh-CN"/>
        </w:rPr>
        <w:t>：</w:t>
      </w:r>
      <w:r>
        <w:rPr>
          <w:rFonts w:hint="eastAsia"/>
          <w:color w:val="auto"/>
          <w:highlight w:val="none"/>
          <w:lang w:val="en-US" w:eastAsia="zh-CN"/>
        </w:rPr>
        <w:t>对用户个人敏感属性等数据进行区间化、分级化、统计分析后形成的非精确的模糊化标签数据。偏好标签、关系标签等。</w:t>
      </w:r>
    </w:p>
    <w:p>
      <w:pPr>
        <w:numPr>
          <w:ilvl w:val="0"/>
          <w:numId w:val="33"/>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脱敏数据</w:t>
      </w:r>
      <w:r>
        <w:rPr>
          <w:rFonts w:hint="eastAsia" w:ascii="宋体" w:hAnsi="宋体"/>
          <w:color w:val="auto"/>
          <w:highlight w:val="none"/>
          <w:lang w:val="en-US" w:eastAsia="zh-CN"/>
        </w:rPr>
        <w:t>：</w:t>
      </w:r>
      <w:r>
        <w:rPr>
          <w:rFonts w:hint="eastAsia"/>
          <w:color w:val="auto"/>
          <w:highlight w:val="none"/>
          <w:lang w:val="en-US" w:eastAsia="zh-CN"/>
        </w:rPr>
        <w:t>对数据按照脱敏规则进行数据变形处理后的新数据。匿名化处理后的数据属于脱敏数据。</w:t>
      </w:r>
    </w:p>
    <w:p>
      <w:pPr>
        <w:numPr>
          <w:ilvl w:val="0"/>
          <w:numId w:val="33"/>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统计数据</w:t>
      </w:r>
      <w:r>
        <w:rPr>
          <w:rFonts w:hint="eastAsia" w:ascii="宋体" w:hAnsi="宋体"/>
          <w:color w:val="auto"/>
          <w:highlight w:val="none"/>
          <w:lang w:val="en-US" w:eastAsia="zh-CN"/>
        </w:rPr>
        <w:t>：</w:t>
      </w:r>
      <w:r>
        <w:rPr>
          <w:rFonts w:hint="eastAsia"/>
          <w:color w:val="auto"/>
          <w:highlight w:val="none"/>
          <w:lang w:val="en-US" w:eastAsia="zh-CN"/>
        </w:rPr>
        <w:t>即群体性综合性数据，是由多个用户个人或实体对象的数据进行统计或分析后形成的数据。如群体用户位置轨迹统计信息、群体统计指数、交易统计数据、统计分析报表、分析报告方案等。</w:t>
      </w:r>
    </w:p>
    <w:p>
      <w:pPr>
        <w:numPr>
          <w:ilvl w:val="0"/>
          <w:numId w:val="33"/>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融合数据</w:t>
      </w:r>
      <w:r>
        <w:rPr>
          <w:rFonts w:hint="eastAsia" w:ascii="宋体" w:hAnsi="宋体"/>
          <w:color w:val="auto"/>
          <w:highlight w:val="none"/>
          <w:lang w:val="en-US" w:eastAsia="zh-CN"/>
        </w:rPr>
        <w:t>：</w:t>
      </w:r>
      <w:r>
        <w:rPr>
          <w:rFonts w:hint="eastAsia"/>
          <w:color w:val="auto"/>
          <w:highlight w:val="none"/>
          <w:lang w:val="en-US" w:eastAsia="zh-CN"/>
        </w:rPr>
        <w:t>如群体用户位置轨迹统计信息、群体统计指数、交易统计数据、统计分析报表、分析报告方案等。</w:t>
      </w:r>
    </w:p>
    <w:p>
      <w:pPr>
        <w:pStyle w:val="26"/>
        <w:bidi w:val="0"/>
        <w:outlineLvl w:val="1"/>
        <w:rPr>
          <w:rFonts w:hint="default"/>
          <w:lang w:val="en-US" w:eastAsia="zh-CN"/>
        </w:rPr>
      </w:pPr>
      <w:bookmarkStart w:id="260" w:name="_Toc10628"/>
      <w:bookmarkStart w:id="261" w:name="_Toc13665"/>
      <w:bookmarkStart w:id="262" w:name="_Toc23762"/>
      <w:bookmarkStart w:id="263" w:name="_Toc3376"/>
      <w:r>
        <w:rPr>
          <w:rFonts w:hint="eastAsia"/>
          <w:lang w:val="en-US" w:eastAsia="zh-CN"/>
        </w:rPr>
        <w:t>数据敏感程度维度</w:t>
      </w:r>
      <w:bookmarkEnd w:id="260"/>
      <w:bookmarkEnd w:id="261"/>
      <w:bookmarkEnd w:id="262"/>
      <w:bookmarkEnd w:id="263"/>
    </w:p>
    <w:p>
      <w:pPr>
        <w:spacing w:line="360" w:lineRule="auto"/>
        <w:ind w:firstLine="420" w:firstLineChars="200"/>
        <w:rPr>
          <w:rFonts w:hint="default"/>
          <w:color w:val="auto"/>
          <w:highlight w:val="none"/>
          <w:lang w:val="en-US" w:eastAsia="zh-CN"/>
        </w:rPr>
      </w:pPr>
      <w:r>
        <w:rPr>
          <w:rFonts w:hint="eastAsia"/>
          <w:color w:val="auto"/>
          <w:highlight w:val="none"/>
          <w:lang w:val="en-US" w:eastAsia="zh-CN"/>
        </w:rPr>
        <w:t>工业数据按照敏感程度不同，可以分为敏感数据、一般数据、受限数据、机密数据和隐私数据。</w:t>
      </w:r>
    </w:p>
    <w:p>
      <w:pPr>
        <w:numPr>
          <w:ilvl w:val="0"/>
          <w:numId w:val="34"/>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敏感数据</w:t>
      </w:r>
      <w:r>
        <w:rPr>
          <w:rFonts w:hint="eastAsia" w:ascii="宋体" w:hAnsi="宋体"/>
          <w:color w:val="auto"/>
          <w:highlight w:val="none"/>
          <w:lang w:val="en-US" w:eastAsia="zh-CN"/>
        </w:rPr>
        <w:t>：</w:t>
      </w:r>
      <w:r>
        <w:rPr>
          <w:rFonts w:hint="default"/>
          <w:color w:val="auto"/>
          <w:highlight w:val="none"/>
          <w:lang w:val="en-US" w:eastAsia="zh-CN"/>
        </w:rPr>
        <w:t>这类数据对于企业的生产、经营和管理至关重要，因此需要保密，不允许泄露或滥用。例如，企业的客户信息、财务数据、生产流程数据等。</w:t>
      </w:r>
    </w:p>
    <w:p>
      <w:pPr>
        <w:numPr>
          <w:ilvl w:val="0"/>
          <w:numId w:val="34"/>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一般数据</w:t>
      </w:r>
      <w:r>
        <w:rPr>
          <w:rFonts w:hint="eastAsia" w:ascii="宋体" w:hAnsi="宋体"/>
          <w:color w:val="auto"/>
          <w:highlight w:val="none"/>
          <w:lang w:val="en-US" w:eastAsia="zh-CN"/>
        </w:rPr>
        <w:t>：</w:t>
      </w:r>
      <w:r>
        <w:rPr>
          <w:rFonts w:hint="default"/>
          <w:color w:val="auto"/>
          <w:highlight w:val="none"/>
          <w:lang w:val="en-US" w:eastAsia="zh-CN"/>
        </w:rPr>
        <w:t>这类数据对于企业的生产、经营和管理有一定的价值，但并非至关重要，因此可以公开访问和使用。例如，市场调研数据、客户反馈数据等。</w:t>
      </w:r>
    </w:p>
    <w:p>
      <w:pPr>
        <w:numPr>
          <w:ilvl w:val="0"/>
          <w:numId w:val="34"/>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受限数据</w:t>
      </w:r>
      <w:r>
        <w:rPr>
          <w:rFonts w:hint="eastAsia" w:ascii="宋体" w:hAnsi="宋体"/>
          <w:color w:val="auto"/>
          <w:highlight w:val="none"/>
          <w:lang w:val="en-US" w:eastAsia="zh-CN"/>
        </w:rPr>
        <w:t>：</w:t>
      </w:r>
      <w:r>
        <w:rPr>
          <w:rFonts w:hint="default"/>
          <w:color w:val="auto"/>
          <w:highlight w:val="none"/>
          <w:lang w:val="en-US" w:eastAsia="zh-CN"/>
        </w:rPr>
        <w:t>这类数据对于企业的生产、经营和管理价值较低，需要受到一定的限制，如只允许某些人员访问或使用。例如，只允许特定部门的员工访问生产线数据。</w:t>
      </w:r>
    </w:p>
    <w:p>
      <w:pPr>
        <w:numPr>
          <w:ilvl w:val="0"/>
          <w:numId w:val="34"/>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机密数据</w:t>
      </w:r>
      <w:r>
        <w:rPr>
          <w:rFonts w:hint="eastAsia" w:ascii="宋体" w:hAnsi="宋体"/>
          <w:color w:val="auto"/>
          <w:highlight w:val="none"/>
          <w:lang w:val="en-US" w:eastAsia="zh-CN"/>
        </w:rPr>
        <w:t>：</w:t>
      </w:r>
      <w:r>
        <w:rPr>
          <w:rFonts w:hint="default"/>
          <w:color w:val="auto"/>
          <w:highlight w:val="none"/>
          <w:lang w:val="en-US" w:eastAsia="zh-CN"/>
        </w:rPr>
        <w:t>这类数据对于企业的生产、经营和管理至关重要，需要保密，不允许泄露或滥用。例如，企业的核心技术数据、商业机密数据等。</w:t>
      </w:r>
    </w:p>
    <w:p>
      <w:pPr>
        <w:numPr>
          <w:ilvl w:val="0"/>
          <w:numId w:val="34"/>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隐私数据</w:t>
      </w:r>
      <w:r>
        <w:rPr>
          <w:rFonts w:hint="eastAsia" w:ascii="宋体" w:hAnsi="宋体"/>
          <w:color w:val="auto"/>
          <w:highlight w:val="none"/>
          <w:lang w:val="en-US" w:eastAsia="zh-CN"/>
        </w:rPr>
        <w:t>：</w:t>
      </w:r>
      <w:r>
        <w:rPr>
          <w:rFonts w:hint="default"/>
          <w:color w:val="auto"/>
          <w:highlight w:val="none"/>
          <w:lang w:val="en-US" w:eastAsia="zh-CN"/>
        </w:rPr>
        <w:t>这类数据对于企业的生产、经营和管理并不敏感，但需要保护个人隐私，如个人身份信息等。例如，员工的个人信息、位置数据等。</w:t>
      </w:r>
    </w:p>
    <w:p>
      <w:pPr>
        <w:pStyle w:val="26"/>
        <w:bidi w:val="0"/>
        <w:outlineLvl w:val="1"/>
        <w:rPr>
          <w:rFonts w:hint="default"/>
          <w:color w:val="auto"/>
          <w:highlight w:val="none"/>
          <w:lang w:val="en-US" w:eastAsia="zh-CN"/>
        </w:rPr>
      </w:pPr>
      <w:bookmarkStart w:id="264" w:name="_Toc11852"/>
      <w:bookmarkStart w:id="265" w:name="_Toc14317"/>
      <w:bookmarkStart w:id="266" w:name="_Toc639"/>
      <w:bookmarkStart w:id="267" w:name="_Toc1270"/>
      <w:r>
        <w:rPr>
          <w:rFonts w:hint="eastAsia"/>
          <w:color w:val="auto"/>
          <w:highlight w:val="none"/>
          <w:lang w:val="en-US" w:eastAsia="zh-CN"/>
        </w:rPr>
        <w:t>存储方式维度</w:t>
      </w:r>
      <w:bookmarkEnd w:id="264"/>
      <w:bookmarkEnd w:id="265"/>
      <w:bookmarkEnd w:id="266"/>
      <w:bookmarkEnd w:id="267"/>
    </w:p>
    <w:p>
      <w:pPr>
        <w:spacing w:line="360" w:lineRule="auto"/>
        <w:ind w:firstLine="420" w:firstLineChars="200"/>
        <w:rPr>
          <w:rFonts w:hint="default"/>
          <w:color w:val="auto"/>
          <w:highlight w:val="none"/>
          <w:lang w:val="en-US" w:eastAsia="zh-CN"/>
        </w:rPr>
      </w:pPr>
      <w:r>
        <w:rPr>
          <w:rFonts w:hint="eastAsia"/>
          <w:color w:val="auto"/>
          <w:highlight w:val="none"/>
          <w:lang w:val="en-US" w:eastAsia="zh-CN"/>
        </w:rPr>
        <w:t>工业数据按照存储方式不同，可以分为纸质文档、电子文档、电子表格、光盘、数据库、数据仓库和云存储。</w:t>
      </w:r>
    </w:p>
    <w:p>
      <w:pPr>
        <w:numPr>
          <w:ilvl w:val="0"/>
          <w:numId w:val="35"/>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纸质文档</w:t>
      </w:r>
      <w:r>
        <w:rPr>
          <w:rFonts w:hint="eastAsia" w:ascii="宋体" w:hAnsi="宋体"/>
          <w:color w:val="auto"/>
          <w:highlight w:val="none"/>
          <w:lang w:val="en-US" w:eastAsia="zh-CN"/>
        </w:rPr>
        <w:t>：</w:t>
      </w:r>
      <w:r>
        <w:rPr>
          <w:rFonts w:hint="default"/>
          <w:color w:val="auto"/>
          <w:highlight w:val="none"/>
          <w:lang w:val="en-US" w:eastAsia="zh-CN"/>
        </w:rPr>
        <w:t>纸质文档是传统的工业数据存储方式，通常是将数据手动记录在纸张上，再进行保存和管理。这种方式的优点是成本低，易于管理，但是数据容易被破坏和丢失，不适合长期保存。</w:t>
      </w:r>
    </w:p>
    <w:p>
      <w:pPr>
        <w:numPr>
          <w:ilvl w:val="0"/>
          <w:numId w:val="35"/>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电子文档</w:t>
      </w:r>
      <w:r>
        <w:rPr>
          <w:rFonts w:hint="eastAsia" w:ascii="宋体" w:hAnsi="宋体"/>
          <w:color w:val="auto"/>
          <w:highlight w:val="none"/>
          <w:lang w:val="en-US" w:eastAsia="zh-CN"/>
        </w:rPr>
        <w:t>：</w:t>
      </w:r>
      <w:r>
        <w:rPr>
          <w:rFonts w:hint="default"/>
          <w:color w:val="auto"/>
          <w:highlight w:val="none"/>
          <w:lang w:val="en-US" w:eastAsia="zh-CN"/>
        </w:rPr>
        <w:t>电子文档是一种基于数字化技术的工业数据存储方式，通过电子文档管理系统，可以将数据以电子文档的形式进行保存和管理。电子文档具有数据安全性高、存储空间小、易于传输和管理等优点。</w:t>
      </w:r>
    </w:p>
    <w:p>
      <w:pPr>
        <w:numPr>
          <w:ilvl w:val="0"/>
          <w:numId w:val="35"/>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电子表格</w:t>
      </w:r>
      <w:r>
        <w:rPr>
          <w:rFonts w:hint="eastAsia" w:ascii="宋体" w:hAnsi="宋体"/>
          <w:color w:val="auto"/>
          <w:highlight w:val="none"/>
          <w:lang w:val="en-US" w:eastAsia="zh-CN"/>
        </w:rPr>
        <w:t>：</w:t>
      </w:r>
      <w:r>
        <w:rPr>
          <w:rFonts w:hint="default"/>
          <w:color w:val="auto"/>
          <w:highlight w:val="none"/>
          <w:lang w:val="en-US" w:eastAsia="zh-CN"/>
        </w:rPr>
        <w:t>电子表格是一种简单直观的工业数据存储方式，通过电子表格管理系统，可以将数据以电子表格的形式进行保存和管理。电子表格适合存储一些固定格式的数据，如财务数据、库存数据等。</w:t>
      </w:r>
    </w:p>
    <w:p>
      <w:pPr>
        <w:numPr>
          <w:ilvl w:val="0"/>
          <w:numId w:val="35"/>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光盘</w:t>
      </w:r>
      <w:r>
        <w:rPr>
          <w:rFonts w:hint="eastAsia" w:ascii="宋体" w:hAnsi="宋体"/>
          <w:color w:val="auto"/>
          <w:highlight w:val="none"/>
          <w:lang w:val="en-US" w:eastAsia="zh-CN"/>
        </w:rPr>
        <w:t>：</w:t>
      </w:r>
      <w:r>
        <w:rPr>
          <w:rFonts w:hint="default"/>
          <w:color w:val="auto"/>
          <w:highlight w:val="none"/>
          <w:lang w:val="en-US" w:eastAsia="zh-CN"/>
        </w:rPr>
        <w:t>光盘是一种常用的工业数据存储方式，通过光盘存储数据可以保证数据的长期保存和安全传输。光盘适合存储一些需要长期保存的数据，如研究数据、设计数据等。</w:t>
      </w:r>
    </w:p>
    <w:p>
      <w:pPr>
        <w:numPr>
          <w:ilvl w:val="0"/>
          <w:numId w:val="35"/>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数据库</w:t>
      </w:r>
      <w:r>
        <w:rPr>
          <w:rFonts w:hint="eastAsia" w:ascii="宋体" w:hAnsi="宋体"/>
          <w:color w:val="auto"/>
          <w:highlight w:val="none"/>
          <w:lang w:val="en-US" w:eastAsia="zh-CN"/>
        </w:rPr>
        <w:t>：</w:t>
      </w:r>
      <w:r>
        <w:rPr>
          <w:rFonts w:hint="default"/>
          <w:color w:val="auto"/>
          <w:highlight w:val="none"/>
          <w:lang w:val="en-US" w:eastAsia="zh-CN"/>
        </w:rPr>
        <w:t>数据库是一种集中存储工业数据的方式，通过数据库管理系统，可以将数据以表格的形式进行保存和管理。数据库适合存储大量的数据，并且具有高效的数据查询和管理功能。</w:t>
      </w:r>
    </w:p>
    <w:p>
      <w:pPr>
        <w:numPr>
          <w:ilvl w:val="0"/>
          <w:numId w:val="35"/>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数据仓库</w:t>
      </w:r>
      <w:r>
        <w:rPr>
          <w:rFonts w:hint="eastAsia" w:ascii="宋体" w:hAnsi="宋体"/>
          <w:color w:val="auto"/>
          <w:highlight w:val="none"/>
          <w:lang w:val="en-US" w:eastAsia="zh-CN"/>
        </w:rPr>
        <w:t>：</w:t>
      </w:r>
      <w:r>
        <w:rPr>
          <w:rFonts w:hint="default"/>
          <w:color w:val="auto"/>
          <w:highlight w:val="none"/>
          <w:lang w:val="en-US" w:eastAsia="zh-CN"/>
        </w:rPr>
        <w:t>数据仓库是一种将多个数据源的数据汇总、清洗和分析，生成可供决策者使用的决策支持数据的方式。数据仓库适合存储工业领域中的实时数据和历史数据，并且可以支持数据的快速检索和分析。</w:t>
      </w:r>
    </w:p>
    <w:p>
      <w:pPr>
        <w:numPr>
          <w:ilvl w:val="0"/>
          <w:numId w:val="35"/>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云存储</w:t>
      </w:r>
      <w:r>
        <w:rPr>
          <w:rFonts w:hint="eastAsia" w:ascii="宋体" w:hAnsi="宋体"/>
          <w:color w:val="auto"/>
          <w:highlight w:val="none"/>
          <w:lang w:val="en-US" w:eastAsia="zh-CN"/>
        </w:rPr>
        <w:t>：</w:t>
      </w:r>
      <w:r>
        <w:rPr>
          <w:rFonts w:hint="default"/>
          <w:color w:val="auto"/>
          <w:highlight w:val="none"/>
          <w:lang w:val="en-US" w:eastAsia="zh-CN"/>
        </w:rPr>
        <w:t>云存储是一种将工业数据存储在云端的方式，通过云存储系统，可以将数据以文件的形式进行保存和管理。云存储适合存储大量的数据，并且可以支持数据的跨平台访问和管理。</w:t>
      </w:r>
    </w:p>
    <w:p>
      <w:pPr>
        <w:numPr>
          <w:ilvl w:val="0"/>
          <w:numId w:val="35"/>
        </w:numPr>
        <w:spacing w:line="360" w:lineRule="auto"/>
        <w:ind w:left="840" w:hanging="420"/>
        <w:rPr>
          <w:rFonts w:hint="default" w:eastAsia="宋体"/>
          <w:color w:val="auto"/>
          <w:highlight w:val="none"/>
          <w:lang w:val="en-US" w:eastAsia="zh-CN"/>
        </w:rPr>
      </w:pPr>
      <w:r>
        <w:rPr>
          <w:rFonts w:hint="default" w:eastAsia="宋体"/>
          <w:color w:val="auto"/>
          <w:highlight w:val="none"/>
          <w:lang w:val="en-US" w:eastAsia="zh-CN"/>
        </w:rPr>
        <w:t>区块链存储</w:t>
      </w:r>
      <w:r>
        <w:rPr>
          <w:rFonts w:hint="eastAsia" w:eastAsia="宋体"/>
          <w:color w:val="auto"/>
          <w:highlight w:val="none"/>
          <w:lang w:val="en-US" w:eastAsia="zh-CN"/>
        </w:rPr>
        <w:t>：</w:t>
      </w:r>
      <w:r>
        <w:rPr>
          <w:rFonts w:hint="eastAsia"/>
          <w:color w:val="auto"/>
          <w:highlight w:val="none"/>
          <w:lang w:val="en-US" w:eastAsia="zh-CN"/>
        </w:rPr>
        <w:t>区块链存储是区块链驱动的去中心化存储，也称广域网存储，由广域网存储系统和区块链激励层组成。</w:t>
      </w:r>
    </w:p>
    <w:p>
      <w:pPr>
        <w:pStyle w:val="26"/>
        <w:bidi w:val="0"/>
        <w:outlineLvl w:val="1"/>
        <w:rPr>
          <w:rFonts w:hint="default"/>
          <w:color w:val="auto"/>
          <w:highlight w:val="none"/>
          <w:lang w:val="en-US" w:eastAsia="zh-CN"/>
        </w:rPr>
      </w:pPr>
      <w:bookmarkStart w:id="268" w:name="_Toc30035"/>
      <w:bookmarkStart w:id="269" w:name="_Toc27302"/>
      <w:bookmarkStart w:id="270" w:name="_Toc16125"/>
      <w:bookmarkStart w:id="271" w:name="_Toc7388"/>
      <w:r>
        <w:rPr>
          <w:rFonts w:hint="eastAsia"/>
          <w:color w:val="auto"/>
          <w:highlight w:val="none"/>
          <w:lang w:val="en-US" w:eastAsia="zh-CN"/>
        </w:rPr>
        <w:t>更新频率维度</w:t>
      </w:r>
      <w:bookmarkEnd w:id="268"/>
      <w:bookmarkEnd w:id="269"/>
      <w:bookmarkEnd w:id="270"/>
      <w:bookmarkEnd w:id="271"/>
    </w:p>
    <w:p>
      <w:pPr>
        <w:pStyle w:val="25"/>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工业数据按照更新频率不同，可以分为冷数据、温数据和热数据。</w:t>
      </w:r>
    </w:p>
    <w:p>
      <w:pPr>
        <w:numPr>
          <w:ilvl w:val="0"/>
          <w:numId w:val="36"/>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冷数据</w:t>
      </w:r>
      <w:r>
        <w:rPr>
          <w:rFonts w:hint="eastAsia" w:ascii="宋体" w:hAnsi="宋体"/>
          <w:color w:val="auto"/>
          <w:highlight w:val="none"/>
          <w:lang w:val="en-US" w:eastAsia="zh-CN"/>
        </w:rPr>
        <w:t>：</w:t>
      </w:r>
      <w:r>
        <w:rPr>
          <w:rFonts w:hint="default"/>
          <w:color w:val="auto"/>
          <w:highlight w:val="none"/>
          <w:lang w:val="en-US" w:eastAsia="zh-CN"/>
        </w:rPr>
        <w:t>数据更新频率低、数据量大、更新周期长的数据，这些数据通常不经常被访问或使用，例如企业备份数据、业务与操作日志数据等。</w:t>
      </w:r>
    </w:p>
    <w:p>
      <w:pPr>
        <w:numPr>
          <w:ilvl w:val="0"/>
          <w:numId w:val="36"/>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温数据</w:t>
      </w:r>
      <w:r>
        <w:rPr>
          <w:rFonts w:hint="eastAsia" w:ascii="宋体" w:hAnsi="宋体"/>
          <w:color w:val="auto"/>
          <w:highlight w:val="none"/>
          <w:lang w:val="en-US" w:eastAsia="zh-CN"/>
        </w:rPr>
        <w:t>：</w:t>
      </w:r>
      <w:r>
        <w:rPr>
          <w:rFonts w:hint="default"/>
          <w:color w:val="auto"/>
          <w:highlight w:val="none"/>
          <w:lang w:val="en-US" w:eastAsia="zh-CN"/>
        </w:rPr>
        <w:t>数据更新频率适中、数据量适中、更新周期适中的数据，这些数据通常会被频繁访问或使用，例如数据画像数据、营销数据等。</w:t>
      </w:r>
    </w:p>
    <w:p>
      <w:pPr>
        <w:numPr>
          <w:ilvl w:val="0"/>
          <w:numId w:val="36"/>
        </w:numPr>
        <w:spacing w:line="360" w:lineRule="auto"/>
        <w:ind w:left="840" w:leftChars="0" w:hanging="420" w:firstLineChars="0"/>
        <w:rPr>
          <w:rFonts w:hint="default"/>
          <w:highlight w:val="none"/>
          <w:lang w:val="en-US" w:eastAsia="zh-CN"/>
        </w:rPr>
      </w:pPr>
      <w:r>
        <w:rPr>
          <w:rFonts w:hint="default"/>
          <w:color w:val="auto"/>
          <w:highlight w:val="none"/>
          <w:lang w:val="en-US" w:eastAsia="zh-CN"/>
        </w:rPr>
        <w:t>热数据</w:t>
      </w:r>
      <w:r>
        <w:rPr>
          <w:rFonts w:hint="eastAsia" w:ascii="宋体" w:hAnsi="宋体"/>
          <w:color w:val="auto"/>
          <w:highlight w:val="none"/>
          <w:lang w:val="en-US" w:eastAsia="zh-CN"/>
        </w:rPr>
        <w:t>：</w:t>
      </w:r>
      <w:r>
        <w:rPr>
          <w:rFonts w:hint="default"/>
          <w:color w:val="auto"/>
          <w:highlight w:val="none"/>
          <w:lang w:val="en-US" w:eastAsia="zh-CN"/>
        </w:rPr>
        <w:t>数据更新频率高、数据量适中、更新周期短的数据，这些数据通常会被频繁访问或使用，例如实时数据、交易数据等。</w:t>
      </w:r>
    </w:p>
    <w:p>
      <w:pPr>
        <w:pStyle w:val="26"/>
        <w:bidi w:val="0"/>
        <w:outlineLvl w:val="1"/>
        <w:rPr>
          <w:rFonts w:hint="default"/>
          <w:lang w:val="en-US" w:eastAsia="zh-CN"/>
        </w:rPr>
      </w:pPr>
      <w:bookmarkStart w:id="272" w:name="_Toc15128"/>
      <w:bookmarkStart w:id="273" w:name="_Toc27779"/>
      <w:bookmarkStart w:id="274" w:name="_Toc13905"/>
      <w:r>
        <w:rPr>
          <w:rFonts w:hint="eastAsia"/>
          <w:lang w:val="en-US" w:eastAsia="zh-CN"/>
        </w:rPr>
        <w:t>数据质量维度</w:t>
      </w:r>
      <w:bookmarkEnd w:id="272"/>
      <w:bookmarkEnd w:id="273"/>
      <w:bookmarkEnd w:id="274"/>
    </w:p>
    <w:p>
      <w:pPr>
        <w:pStyle w:val="25"/>
        <w:spacing w:line="360" w:lineRule="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按照</w:t>
      </w:r>
      <w:r>
        <w:rPr>
          <w:rFonts w:hint="eastAsia" w:hAnsi="宋体" w:cs="宋体"/>
          <w:color w:val="auto"/>
          <w:sz w:val="21"/>
          <w:szCs w:val="21"/>
          <w:highlight w:val="none"/>
          <w:lang w:val="en-US" w:eastAsia="zh-CN"/>
        </w:rPr>
        <w:t>数据质量</w:t>
      </w:r>
      <w:r>
        <w:rPr>
          <w:rFonts w:hint="default" w:ascii="宋体" w:hAnsi="宋体" w:eastAsia="宋体" w:cs="宋体"/>
          <w:color w:val="auto"/>
          <w:sz w:val="21"/>
          <w:szCs w:val="21"/>
          <w:highlight w:val="none"/>
          <w:lang w:val="en-US" w:eastAsia="zh-CN"/>
        </w:rPr>
        <w:t>维度，工业数据可以分为</w:t>
      </w:r>
      <w:r>
        <w:rPr>
          <w:rFonts w:hint="eastAsia" w:hAnsi="宋体" w:cs="宋体"/>
          <w:color w:val="auto"/>
          <w:sz w:val="21"/>
          <w:szCs w:val="21"/>
          <w:highlight w:val="none"/>
          <w:lang w:val="en-US" w:eastAsia="zh-CN"/>
        </w:rPr>
        <w:t>高质量数据</w:t>
      </w:r>
      <w:r>
        <w:rPr>
          <w:rFonts w:hint="default"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中质量数据和低质量数据</w:t>
      </w:r>
      <w:r>
        <w:rPr>
          <w:rFonts w:hint="default" w:ascii="宋体" w:hAnsi="宋体" w:eastAsia="宋体" w:cs="宋体"/>
          <w:color w:val="auto"/>
          <w:sz w:val="21"/>
          <w:szCs w:val="21"/>
          <w:highlight w:val="none"/>
          <w:lang w:val="en-US" w:eastAsia="zh-CN"/>
        </w:rPr>
        <w:t>。</w:t>
      </w:r>
    </w:p>
    <w:p>
      <w:pPr>
        <w:numPr>
          <w:ilvl w:val="0"/>
          <w:numId w:val="37"/>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高质量数据</w:t>
      </w:r>
      <w:r>
        <w:rPr>
          <w:rFonts w:hint="eastAsia" w:ascii="宋体" w:hAnsi="宋体"/>
          <w:color w:val="auto"/>
          <w:highlight w:val="none"/>
          <w:lang w:val="en-US" w:eastAsia="zh-CN"/>
        </w:rPr>
        <w:t>：</w:t>
      </w:r>
      <w:r>
        <w:rPr>
          <w:rFonts w:hint="default"/>
          <w:color w:val="auto"/>
          <w:highlight w:val="none"/>
          <w:lang w:val="en-US" w:eastAsia="zh-CN"/>
        </w:rPr>
        <w:t>经过规范化、标准化处理，数据质量较高，能够反映工业生产和经营活动的真实情况、具有代表性和可靠性的数据</w:t>
      </w:r>
      <w:r>
        <w:rPr>
          <w:rFonts w:hint="eastAsia"/>
          <w:color w:val="auto"/>
          <w:highlight w:val="none"/>
          <w:lang w:val="en-US" w:eastAsia="zh-CN"/>
        </w:rPr>
        <w:t>。</w:t>
      </w:r>
      <w:r>
        <w:rPr>
          <w:rFonts w:hint="default"/>
          <w:color w:val="auto"/>
          <w:highlight w:val="none"/>
          <w:lang w:val="en-US" w:eastAsia="zh-CN"/>
        </w:rPr>
        <w:t>可以直接或间接支撑企业业务决策和经营管理的数据。这类数据</w:t>
      </w:r>
      <w:r>
        <w:rPr>
          <w:rFonts w:hint="eastAsia"/>
          <w:color w:val="auto"/>
          <w:highlight w:val="none"/>
          <w:lang w:val="en-US" w:eastAsia="zh-CN"/>
        </w:rPr>
        <w:t>通常</w:t>
      </w:r>
      <w:r>
        <w:rPr>
          <w:rFonts w:hint="default"/>
          <w:color w:val="auto"/>
          <w:highlight w:val="none"/>
          <w:lang w:val="en-US" w:eastAsia="zh-CN"/>
        </w:rPr>
        <w:t>具有以下特点</w:t>
      </w:r>
      <w:r>
        <w:rPr>
          <w:rFonts w:hint="eastAsia" w:ascii="宋体" w:hAnsi="宋体"/>
          <w:color w:val="auto"/>
          <w:highlight w:val="none"/>
          <w:lang w:val="en-US" w:eastAsia="zh-CN"/>
        </w:rPr>
        <w:t>：</w:t>
      </w:r>
    </w:p>
    <w:p>
      <w:pPr>
        <w:pStyle w:val="25"/>
        <w:keepNext w:val="0"/>
        <w:keepLines w:val="0"/>
        <w:pageBreakBefore w:val="0"/>
        <w:widowControl/>
        <w:numPr>
          <w:ilvl w:val="0"/>
          <w:numId w:val="38"/>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准确性</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数据真实、准确地记录了原始数据，无虚假数据及信息。</w:t>
      </w:r>
    </w:p>
    <w:p>
      <w:pPr>
        <w:pStyle w:val="25"/>
        <w:keepNext w:val="0"/>
        <w:keepLines w:val="0"/>
        <w:pageBreakBefore w:val="0"/>
        <w:widowControl/>
        <w:numPr>
          <w:ilvl w:val="0"/>
          <w:numId w:val="38"/>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完整性</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数据的各个字段均没有缺失或者错误。</w:t>
      </w:r>
    </w:p>
    <w:p>
      <w:pPr>
        <w:pStyle w:val="25"/>
        <w:keepNext w:val="0"/>
        <w:keepLines w:val="0"/>
        <w:pageBreakBefore w:val="0"/>
        <w:widowControl/>
        <w:numPr>
          <w:ilvl w:val="0"/>
          <w:numId w:val="38"/>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及时性</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数据及时记录和传递，满足业务对信息获取的时间要求。</w:t>
      </w:r>
    </w:p>
    <w:p>
      <w:pPr>
        <w:pStyle w:val="25"/>
        <w:keepNext w:val="0"/>
        <w:keepLines w:val="0"/>
        <w:pageBreakBefore w:val="0"/>
        <w:widowControl/>
        <w:numPr>
          <w:ilvl w:val="0"/>
          <w:numId w:val="38"/>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可靠性</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数据来源可靠，数据的处理和存储方式没有明显错误。</w:t>
      </w:r>
    </w:p>
    <w:p>
      <w:pPr>
        <w:pStyle w:val="25"/>
        <w:keepNext w:val="0"/>
        <w:keepLines w:val="0"/>
        <w:pageBreakBefore w:val="0"/>
        <w:widowControl/>
        <w:numPr>
          <w:ilvl w:val="0"/>
          <w:numId w:val="38"/>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一致性</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数据的记录遵循统一的数据标准，数据的展现形式和格式符合数据定义和业务定义的要求。</w:t>
      </w:r>
    </w:p>
    <w:p>
      <w:pPr>
        <w:numPr>
          <w:ilvl w:val="0"/>
          <w:numId w:val="37"/>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中质量数据</w:t>
      </w:r>
      <w:r>
        <w:rPr>
          <w:rFonts w:hint="eastAsia" w:ascii="宋体" w:hAnsi="宋体"/>
          <w:color w:val="auto"/>
          <w:highlight w:val="none"/>
          <w:lang w:val="en-US" w:eastAsia="zh-CN"/>
        </w:rPr>
        <w:t>：</w:t>
      </w:r>
      <w:r>
        <w:rPr>
          <w:rFonts w:hint="default"/>
          <w:color w:val="auto"/>
          <w:highlight w:val="none"/>
          <w:lang w:val="en-US" w:eastAsia="zh-CN"/>
        </w:rPr>
        <w:t>指数据准确度较高、精度较高、可信度较高的数据，这类数据对于工业生产的监测、分析和优化具有一定意义。</w:t>
      </w:r>
      <w:r>
        <w:rPr>
          <w:rFonts w:hint="eastAsia"/>
          <w:color w:val="auto"/>
          <w:highlight w:val="none"/>
          <w:lang w:val="en-US" w:eastAsia="zh-CN"/>
        </w:rPr>
        <w:t>这类数据通常具有以下特点</w:t>
      </w:r>
      <w:r>
        <w:rPr>
          <w:rFonts w:hint="eastAsia" w:ascii="宋体" w:hAnsi="宋体"/>
          <w:color w:val="auto"/>
          <w:highlight w:val="none"/>
          <w:lang w:val="en-US" w:eastAsia="zh-CN"/>
        </w:rPr>
        <w:t>：</w:t>
      </w:r>
    </w:p>
    <w:p>
      <w:pPr>
        <w:pStyle w:val="25"/>
        <w:keepNext w:val="0"/>
        <w:keepLines w:val="0"/>
        <w:pageBreakBefore w:val="0"/>
        <w:widowControl/>
        <w:numPr>
          <w:ilvl w:val="0"/>
          <w:numId w:val="39"/>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可用性</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中质量工业数据已经过初步的数据清洗和处理，可以直接使用，不需要进一步的处理和分析。</w:t>
      </w:r>
    </w:p>
    <w:p>
      <w:pPr>
        <w:pStyle w:val="25"/>
        <w:keepNext w:val="0"/>
        <w:keepLines w:val="0"/>
        <w:pageBreakBefore w:val="0"/>
        <w:widowControl/>
        <w:numPr>
          <w:ilvl w:val="0"/>
          <w:numId w:val="39"/>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代表性</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中质量工业数据可以反映数据源的实际情况，具有一定的代表性，但是代表性还需要进一步的验证和确认。</w:t>
      </w:r>
    </w:p>
    <w:p>
      <w:pPr>
        <w:pStyle w:val="25"/>
        <w:keepNext w:val="0"/>
        <w:keepLines w:val="0"/>
        <w:pageBreakBefore w:val="0"/>
        <w:widowControl/>
        <w:numPr>
          <w:ilvl w:val="0"/>
          <w:numId w:val="39"/>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局限性</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中质量工业数据的数据源比较单一，数据量有限，可能存在数据不全、不准确等问题，需要进一步的验证和确认。</w:t>
      </w:r>
    </w:p>
    <w:p>
      <w:pPr>
        <w:pStyle w:val="25"/>
        <w:keepNext w:val="0"/>
        <w:keepLines w:val="0"/>
        <w:pageBreakBefore w:val="0"/>
        <w:widowControl/>
        <w:numPr>
          <w:ilvl w:val="0"/>
          <w:numId w:val="39"/>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需要进一步的清洗和处理</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中质量工业数据还需要进一步的清洗和处理，以提高数据的质量和可靠性。</w:t>
      </w:r>
    </w:p>
    <w:p>
      <w:pPr>
        <w:numPr>
          <w:ilvl w:val="0"/>
          <w:numId w:val="37"/>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低质量数据</w:t>
      </w:r>
      <w:r>
        <w:rPr>
          <w:rFonts w:hint="eastAsia" w:ascii="宋体" w:hAnsi="宋体"/>
          <w:color w:val="auto"/>
          <w:highlight w:val="none"/>
          <w:lang w:val="en-US" w:eastAsia="zh-CN"/>
        </w:rPr>
        <w:t>：</w:t>
      </w:r>
      <w:r>
        <w:rPr>
          <w:rFonts w:hint="default"/>
          <w:color w:val="auto"/>
          <w:highlight w:val="none"/>
          <w:lang w:val="en-US" w:eastAsia="zh-CN"/>
        </w:rPr>
        <w:t>指数据存在错误、缺失、不一致等问题的数据，这类数据对于工业生产的监测、分析和优化具有负面影响。</w:t>
      </w:r>
      <w:r>
        <w:rPr>
          <w:rFonts w:hint="eastAsia"/>
          <w:color w:val="auto"/>
          <w:highlight w:val="none"/>
          <w:lang w:val="en-US" w:eastAsia="zh-CN"/>
        </w:rPr>
        <w:t>这类数据通常具有以下特点</w:t>
      </w:r>
      <w:r>
        <w:rPr>
          <w:rFonts w:hint="eastAsia" w:ascii="宋体" w:hAnsi="宋体"/>
          <w:color w:val="auto"/>
          <w:highlight w:val="none"/>
          <w:lang w:val="en-US" w:eastAsia="zh-CN"/>
        </w:rPr>
        <w:t>：</w:t>
      </w:r>
    </w:p>
    <w:p>
      <w:pPr>
        <w:pStyle w:val="25"/>
        <w:keepNext w:val="0"/>
        <w:keepLines w:val="0"/>
        <w:pageBreakBefore w:val="0"/>
        <w:widowControl/>
        <w:numPr>
          <w:ilvl w:val="0"/>
          <w:numId w:val="40"/>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数据缺失</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数据源中可能存在数据缺失的情况，例如缺少关键数据项。</w:t>
      </w:r>
    </w:p>
    <w:p>
      <w:pPr>
        <w:pStyle w:val="25"/>
        <w:keepNext w:val="0"/>
        <w:keepLines w:val="0"/>
        <w:pageBreakBefore w:val="0"/>
        <w:widowControl/>
        <w:numPr>
          <w:ilvl w:val="0"/>
          <w:numId w:val="40"/>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数据错误</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数据源中可能存在数据错误的情况，例如数据录入错误、计算错误等。</w:t>
      </w:r>
    </w:p>
    <w:p>
      <w:pPr>
        <w:pStyle w:val="25"/>
        <w:keepNext w:val="0"/>
        <w:keepLines w:val="0"/>
        <w:pageBreakBefore w:val="0"/>
        <w:widowControl/>
        <w:numPr>
          <w:ilvl w:val="0"/>
          <w:numId w:val="40"/>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异常值</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数据源中可能存在异常值的情况，例如数据值明显偏离正常范围。</w:t>
      </w:r>
    </w:p>
    <w:p>
      <w:pPr>
        <w:pStyle w:val="25"/>
        <w:keepNext w:val="0"/>
        <w:keepLines w:val="0"/>
        <w:pageBreakBefore w:val="0"/>
        <w:widowControl/>
        <w:numPr>
          <w:ilvl w:val="0"/>
          <w:numId w:val="40"/>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冗余数据</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数据源中可能存在冗余数据的情况，例如重复数据、无效数据等。</w:t>
      </w:r>
    </w:p>
    <w:p>
      <w:pPr>
        <w:pStyle w:val="25"/>
        <w:keepNext w:val="0"/>
        <w:keepLines w:val="0"/>
        <w:pageBreakBefore w:val="0"/>
        <w:widowControl/>
        <w:numPr>
          <w:ilvl w:val="0"/>
          <w:numId w:val="40"/>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数据来源不可靠</w:t>
      </w:r>
      <w:r>
        <w:rPr>
          <w:rFonts w:hint="eastAsia" w:ascii="宋体" w:hAnsi="宋体" w:cs="宋体"/>
          <w:color w:val="auto"/>
          <w:sz w:val="21"/>
          <w:szCs w:val="21"/>
          <w:highlight w:val="none"/>
          <w:lang w:val="en-US" w:eastAsia="zh-CN"/>
        </w:rPr>
        <w:t>：</w:t>
      </w:r>
      <w:r>
        <w:rPr>
          <w:rFonts w:hint="eastAsia" w:hAnsi="宋体" w:cs="宋体"/>
          <w:color w:val="auto"/>
          <w:sz w:val="21"/>
          <w:szCs w:val="21"/>
          <w:highlight w:val="none"/>
          <w:lang w:val="en-US" w:eastAsia="zh-CN"/>
        </w:rPr>
        <w:t>数据来源不准确或不可信，无法反映当前的工业生产和经营活动情况。</w:t>
      </w:r>
    </w:p>
    <w:p>
      <w:pPr>
        <w:pStyle w:val="26"/>
        <w:bidi w:val="0"/>
        <w:outlineLvl w:val="1"/>
        <w:rPr>
          <w:rFonts w:hint="eastAsia"/>
          <w:lang w:val="en-US" w:eastAsia="zh-CN"/>
        </w:rPr>
      </w:pPr>
      <w:bookmarkStart w:id="275" w:name="_Toc6084"/>
      <w:bookmarkStart w:id="276" w:name="_Toc20244"/>
      <w:bookmarkStart w:id="277" w:name="_Toc17370"/>
      <w:r>
        <w:rPr>
          <w:rFonts w:hint="eastAsia"/>
          <w:lang w:val="en-US" w:eastAsia="zh-CN"/>
        </w:rPr>
        <w:t>数据来源维度</w:t>
      </w:r>
      <w:bookmarkEnd w:id="275"/>
      <w:bookmarkEnd w:id="276"/>
      <w:bookmarkEnd w:id="277"/>
    </w:p>
    <w:p>
      <w:pPr>
        <w:pStyle w:val="25"/>
        <w:spacing w:line="360" w:lineRule="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按照</w:t>
      </w:r>
      <w:r>
        <w:rPr>
          <w:rFonts w:hint="eastAsia" w:hAnsi="宋体" w:cs="宋体"/>
          <w:color w:val="auto"/>
          <w:sz w:val="21"/>
          <w:szCs w:val="21"/>
          <w:highlight w:val="none"/>
          <w:lang w:val="en-US" w:eastAsia="zh-CN"/>
        </w:rPr>
        <w:t>数据来源</w:t>
      </w:r>
      <w:r>
        <w:rPr>
          <w:rFonts w:hint="default" w:ascii="宋体" w:hAnsi="宋体" w:eastAsia="宋体" w:cs="宋体"/>
          <w:color w:val="auto"/>
          <w:sz w:val="21"/>
          <w:szCs w:val="21"/>
          <w:highlight w:val="none"/>
          <w:lang w:val="en-US" w:eastAsia="zh-CN"/>
        </w:rPr>
        <w:t>维度，工业数据可以分为</w:t>
      </w:r>
      <w:r>
        <w:rPr>
          <w:rFonts w:hint="eastAsia" w:hAnsi="宋体" w:cs="宋体"/>
          <w:color w:val="auto"/>
          <w:sz w:val="21"/>
          <w:szCs w:val="21"/>
          <w:highlight w:val="none"/>
          <w:lang w:val="en-US" w:eastAsia="zh-CN"/>
        </w:rPr>
        <w:t>生产数据</w:t>
      </w:r>
      <w:r>
        <w:rPr>
          <w:rFonts w:hint="default"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经营管理数据、环境监测数据</w:t>
      </w:r>
      <w:r>
        <w:rPr>
          <w:rFonts w:hint="default" w:ascii="宋体" w:hAnsi="宋体" w:eastAsia="宋体" w:cs="宋体"/>
          <w:color w:val="auto"/>
          <w:sz w:val="21"/>
          <w:szCs w:val="21"/>
          <w:highlight w:val="none"/>
          <w:lang w:val="en-US" w:eastAsia="zh-CN"/>
        </w:rPr>
        <w:t>和</w:t>
      </w:r>
      <w:r>
        <w:rPr>
          <w:rFonts w:hint="eastAsia" w:hAnsi="宋体" w:cs="宋体"/>
          <w:color w:val="auto"/>
          <w:sz w:val="21"/>
          <w:szCs w:val="21"/>
          <w:highlight w:val="none"/>
          <w:lang w:val="en-US" w:eastAsia="zh-CN"/>
        </w:rPr>
        <w:t>安全监管数据</w:t>
      </w:r>
      <w:r>
        <w:rPr>
          <w:rFonts w:hint="default" w:ascii="宋体" w:hAnsi="宋体" w:eastAsia="宋体" w:cs="宋体"/>
          <w:color w:val="auto"/>
          <w:sz w:val="21"/>
          <w:szCs w:val="21"/>
          <w:highlight w:val="none"/>
          <w:lang w:val="en-US" w:eastAsia="zh-CN"/>
        </w:rPr>
        <w:t>。</w:t>
      </w:r>
    </w:p>
    <w:p>
      <w:pPr>
        <w:numPr>
          <w:ilvl w:val="0"/>
          <w:numId w:val="41"/>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生产数据</w:t>
      </w:r>
      <w:r>
        <w:rPr>
          <w:rFonts w:hint="eastAsia" w:ascii="宋体" w:hAnsi="宋体"/>
          <w:color w:val="auto"/>
          <w:highlight w:val="none"/>
          <w:lang w:val="en-US" w:eastAsia="zh-CN"/>
        </w:rPr>
        <w:t>：</w:t>
      </w:r>
      <w:r>
        <w:rPr>
          <w:rFonts w:hint="default"/>
          <w:color w:val="auto"/>
          <w:highlight w:val="none"/>
          <w:lang w:val="en-US" w:eastAsia="zh-CN"/>
        </w:rPr>
        <w:t>指从工业生产过程中采集的数据，如生产设备的运行数据、产品质量检测数据等。</w:t>
      </w:r>
    </w:p>
    <w:p>
      <w:pPr>
        <w:numPr>
          <w:ilvl w:val="0"/>
          <w:numId w:val="41"/>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经营管理数据</w:t>
      </w:r>
      <w:r>
        <w:rPr>
          <w:rFonts w:hint="eastAsia" w:ascii="宋体" w:hAnsi="宋体"/>
          <w:color w:val="auto"/>
          <w:highlight w:val="none"/>
          <w:lang w:val="en-US" w:eastAsia="zh-CN"/>
        </w:rPr>
        <w:t>：</w:t>
      </w:r>
      <w:r>
        <w:rPr>
          <w:rFonts w:hint="default"/>
          <w:color w:val="auto"/>
          <w:highlight w:val="none"/>
          <w:lang w:val="en-US" w:eastAsia="zh-CN"/>
        </w:rPr>
        <w:t>指从企业经营管理过程中采集的数据，如销售数据、财务数据、客户数据等。</w:t>
      </w:r>
    </w:p>
    <w:p>
      <w:pPr>
        <w:numPr>
          <w:ilvl w:val="0"/>
          <w:numId w:val="41"/>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环境监测数据</w:t>
      </w:r>
      <w:r>
        <w:rPr>
          <w:rFonts w:hint="eastAsia" w:ascii="宋体" w:hAnsi="宋体"/>
          <w:color w:val="auto"/>
          <w:highlight w:val="none"/>
          <w:lang w:val="en-US" w:eastAsia="zh-CN"/>
        </w:rPr>
        <w:t>：</w:t>
      </w:r>
      <w:r>
        <w:rPr>
          <w:rFonts w:hint="default"/>
          <w:color w:val="auto"/>
          <w:highlight w:val="none"/>
          <w:lang w:val="en-US" w:eastAsia="zh-CN"/>
        </w:rPr>
        <w:t>指从工业生产环境中采集的数据，如空气质量监测数据、水质监测数据等。</w:t>
      </w:r>
    </w:p>
    <w:p>
      <w:pPr>
        <w:numPr>
          <w:ilvl w:val="0"/>
          <w:numId w:val="41"/>
        </w:numPr>
        <w:spacing w:line="360" w:lineRule="auto"/>
        <w:ind w:left="840" w:leftChars="0" w:hanging="420" w:firstLineChars="0"/>
        <w:rPr>
          <w:rFonts w:hint="eastAsia"/>
          <w:highlight w:val="none"/>
          <w:lang w:val="en-US" w:eastAsia="zh-CN"/>
        </w:rPr>
      </w:pPr>
      <w:r>
        <w:rPr>
          <w:rFonts w:hint="default"/>
          <w:color w:val="auto"/>
          <w:highlight w:val="none"/>
          <w:lang w:val="en-US" w:eastAsia="zh-CN"/>
        </w:rPr>
        <w:t>安全监管数据</w:t>
      </w:r>
      <w:r>
        <w:rPr>
          <w:rFonts w:hint="eastAsia" w:ascii="宋体" w:hAnsi="宋体"/>
          <w:color w:val="auto"/>
          <w:highlight w:val="none"/>
          <w:lang w:val="en-US" w:eastAsia="zh-CN"/>
        </w:rPr>
        <w:t>：</w:t>
      </w:r>
      <w:r>
        <w:rPr>
          <w:rFonts w:hint="default"/>
          <w:color w:val="auto"/>
          <w:highlight w:val="none"/>
          <w:lang w:val="en-US" w:eastAsia="zh-CN"/>
        </w:rPr>
        <w:t>指从工业生产过程中采集的数据，如安全生产数据、事故数据等。</w:t>
      </w:r>
    </w:p>
    <w:p>
      <w:pPr>
        <w:pStyle w:val="26"/>
        <w:bidi w:val="0"/>
        <w:outlineLvl w:val="1"/>
        <w:rPr>
          <w:rFonts w:hint="eastAsia"/>
          <w:lang w:val="en-US" w:eastAsia="zh-CN"/>
        </w:rPr>
      </w:pPr>
      <w:bookmarkStart w:id="278" w:name="_Toc15592"/>
      <w:bookmarkStart w:id="279" w:name="_Toc13848"/>
      <w:bookmarkStart w:id="280" w:name="_Toc2088"/>
      <w:r>
        <w:rPr>
          <w:rFonts w:hint="eastAsia"/>
          <w:lang w:val="en-US" w:eastAsia="zh-CN"/>
        </w:rPr>
        <w:t>数据结构特征维度</w:t>
      </w:r>
      <w:bookmarkEnd w:id="278"/>
      <w:bookmarkEnd w:id="279"/>
      <w:bookmarkEnd w:id="280"/>
    </w:p>
    <w:p>
      <w:pPr>
        <w:pStyle w:val="25"/>
        <w:spacing w:line="360" w:lineRule="auto"/>
        <w:rPr>
          <w:rFonts w:hint="eastAsia"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按照数据</w:t>
      </w:r>
      <w:r>
        <w:rPr>
          <w:rFonts w:hint="eastAsia" w:hAnsi="宋体" w:cs="宋体"/>
          <w:color w:val="auto"/>
          <w:sz w:val="21"/>
          <w:szCs w:val="21"/>
          <w:highlight w:val="none"/>
          <w:lang w:val="en-US" w:eastAsia="zh-CN"/>
        </w:rPr>
        <w:t>结构特征</w:t>
      </w:r>
      <w:r>
        <w:rPr>
          <w:rFonts w:hint="eastAsia" w:ascii="宋体" w:hAnsi="宋体" w:eastAsia="宋体" w:cs="宋体"/>
          <w:color w:val="auto"/>
          <w:sz w:val="21"/>
          <w:szCs w:val="21"/>
          <w:highlight w:val="none"/>
          <w:lang w:val="en-US" w:eastAsia="zh-CN"/>
        </w:rPr>
        <w:t>维度，工业数据可以分为</w:t>
      </w:r>
      <w:r>
        <w:rPr>
          <w:rFonts w:hint="eastAsia" w:hAnsi="宋体" w:cs="宋体"/>
          <w:color w:val="auto"/>
          <w:sz w:val="21"/>
          <w:szCs w:val="21"/>
          <w:highlight w:val="none"/>
          <w:lang w:val="en-US" w:eastAsia="zh-CN"/>
        </w:rPr>
        <w:t>结构化数据、非结构化数据和半结构化数据。</w:t>
      </w:r>
    </w:p>
    <w:p>
      <w:pPr>
        <w:numPr>
          <w:ilvl w:val="0"/>
          <w:numId w:val="42"/>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结构化数据</w:t>
      </w:r>
      <w:r>
        <w:rPr>
          <w:rFonts w:hint="eastAsia" w:ascii="宋体" w:hAnsi="宋体"/>
          <w:color w:val="auto"/>
          <w:highlight w:val="none"/>
          <w:lang w:val="en-US" w:eastAsia="zh-CN"/>
        </w:rPr>
        <w:t>：</w:t>
      </w:r>
      <w:r>
        <w:rPr>
          <w:rFonts w:hint="default"/>
          <w:color w:val="auto"/>
          <w:highlight w:val="none"/>
          <w:lang w:val="en-US" w:eastAsia="zh-CN"/>
        </w:rPr>
        <w:t>关系型数据库中的数据，如</w:t>
      </w:r>
      <w:r>
        <w:rPr>
          <w:rFonts w:hint="eastAsia" w:ascii="宋体" w:hAnsi="宋体" w:eastAsia="宋体" w:cs="宋体"/>
          <w:color w:val="auto"/>
          <w:highlight w:val="none"/>
          <w:lang w:val="en-US" w:eastAsia="zh-CN"/>
        </w:rPr>
        <w:t>SQL</w:t>
      </w:r>
      <w:r>
        <w:rPr>
          <w:rFonts w:hint="default"/>
          <w:color w:val="auto"/>
          <w:highlight w:val="none"/>
          <w:lang w:val="en-US" w:eastAsia="zh-CN"/>
        </w:rPr>
        <w:t>数据库中的表格数据。</w:t>
      </w:r>
    </w:p>
    <w:p>
      <w:pPr>
        <w:numPr>
          <w:ilvl w:val="0"/>
          <w:numId w:val="42"/>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非结构化数据</w:t>
      </w:r>
      <w:r>
        <w:rPr>
          <w:rFonts w:hint="eastAsia" w:ascii="宋体" w:hAnsi="宋体"/>
          <w:color w:val="auto"/>
          <w:highlight w:val="none"/>
          <w:lang w:val="en-US" w:eastAsia="zh-CN"/>
        </w:rPr>
        <w:t>：</w:t>
      </w:r>
      <w:r>
        <w:rPr>
          <w:rFonts w:hint="default"/>
          <w:color w:val="auto"/>
          <w:highlight w:val="none"/>
          <w:lang w:val="en-US" w:eastAsia="zh-CN"/>
        </w:rPr>
        <w:t>文本、图像、音频、视频等非结构化数据，如数据库备份文件、日志文件、聊天记录等。</w:t>
      </w:r>
    </w:p>
    <w:p>
      <w:pPr>
        <w:numPr>
          <w:ilvl w:val="0"/>
          <w:numId w:val="42"/>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半结构化数据</w:t>
      </w:r>
      <w:r>
        <w:rPr>
          <w:rFonts w:hint="eastAsia" w:ascii="宋体" w:hAnsi="宋体"/>
          <w:color w:val="auto"/>
          <w:highlight w:val="none"/>
          <w:lang w:val="en-US" w:eastAsia="zh-CN"/>
        </w:rPr>
        <w:t>：</w:t>
      </w:r>
      <w:r>
        <w:rPr>
          <w:rFonts w:hint="default"/>
          <w:color w:val="auto"/>
          <w:highlight w:val="none"/>
          <w:lang w:val="en-US" w:eastAsia="zh-CN"/>
        </w:rPr>
        <w:t>介于结构化数据和非结构化数据之间的数据，如</w:t>
      </w:r>
      <w:r>
        <w:rPr>
          <w:rFonts w:hint="default" w:ascii="宋体" w:hAnsi="宋体" w:eastAsia="宋体" w:cs="宋体"/>
          <w:color w:val="auto"/>
          <w:highlight w:val="none"/>
          <w:lang w:val="en-US" w:eastAsia="zh-CN"/>
        </w:rPr>
        <w:t>JSON</w:t>
      </w:r>
      <w:r>
        <w:rPr>
          <w:rFonts w:hint="default"/>
          <w:color w:val="auto"/>
          <w:highlight w:val="none"/>
          <w:lang w:val="en-US" w:eastAsia="zh-CN"/>
        </w:rPr>
        <w:t>数据。</w:t>
      </w:r>
    </w:p>
    <w:p>
      <w:pPr>
        <w:pStyle w:val="26"/>
        <w:bidi w:val="0"/>
        <w:outlineLvl w:val="1"/>
        <w:rPr>
          <w:rFonts w:hint="default"/>
          <w:lang w:val="en-US" w:eastAsia="zh-CN"/>
        </w:rPr>
      </w:pPr>
      <w:bookmarkStart w:id="281" w:name="_Toc17217"/>
      <w:bookmarkStart w:id="282" w:name="_Toc5123"/>
      <w:bookmarkStart w:id="283" w:name="_Toc7856"/>
      <w:r>
        <w:rPr>
          <w:rFonts w:hint="eastAsia"/>
          <w:lang w:val="en-US" w:eastAsia="zh-CN"/>
        </w:rPr>
        <w:t>数据格式维度</w:t>
      </w:r>
      <w:bookmarkEnd w:id="281"/>
      <w:bookmarkEnd w:id="282"/>
      <w:bookmarkEnd w:id="283"/>
    </w:p>
    <w:p>
      <w:pPr>
        <w:pStyle w:val="25"/>
        <w:spacing w:line="360" w:lineRule="auto"/>
        <w:rPr>
          <w:rFonts w:hint="eastAsia"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按照数据</w:t>
      </w:r>
      <w:r>
        <w:rPr>
          <w:rFonts w:hint="eastAsia" w:hAnsi="宋体" w:cs="宋体"/>
          <w:color w:val="auto"/>
          <w:sz w:val="21"/>
          <w:szCs w:val="21"/>
          <w:highlight w:val="none"/>
          <w:lang w:val="en-US" w:eastAsia="zh-CN"/>
        </w:rPr>
        <w:t>格式</w:t>
      </w:r>
      <w:r>
        <w:rPr>
          <w:rFonts w:hint="eastAsia" w:ascii="宋体" w:hAnsi="宋体" w:eastAsia="宋体" w:cs="宋体"/>
          <w:color w:val="auto"/>
          <w:sz w:val="21"/>
          <w:szCs w:val="21"/>
          <w:highlight w:val="none"/>
          <w:lang w:val="en-US" w:eastAsia="zh-CN"/>
        </w:rPr>
        <w:t>维度，工业数据可以分为</w:t>
      </w:r>
      <w:r>
        <w:rPr>
          <w:rFonts w:hint="eastAsia" w:hAnsi="宋体" w:cs="宋体"/>
          <w:color w:val="auto"/>
          <w:sz w:val="21"/>
          <w:szCs w:val="21"/>
          <w:highlight w:val="none"/>
          <w:lang w:val="en-US" w:eastAsia="zh-CN"/>
        </w:rPr>
        <w:t>二进制格式、文本格式、图像格式、音频格式、视频格式、以及数据库格式。</w:t>
      </w:r>
    </w:p>
    <w:p>
      <w:pPr>
        <w:numPr>
          <w:ilvl w:val="0"/>
          <w:numId w:val="43"/>
        </w:numPr>
        <w:spacing w:line="360" w:lineRule="auto"/>
        <w:ind w:left="840" w:leftChars="0" w:hanging="42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二进制格式：二进制格式是最常见的工业数据格式，包括0和1。二进制数据便于计算机处理，常用于实时控制和数据采集。</w:t>
      </w:r>
    </w:p>
    <w:p>
      <w:pPr>
        <w:numPr>
          <w:ilvl w:val="0"/>
          <w:numId w:val="43"/>
        </w:numPr>
        <w:spacing w:line="360" w:lineRule="auto"/>
        <w:ind w:left="840" w:leftChars="0" w:hanging="42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文本格式：文本格式是指存储数据时使用文本编码方式，如文本文件、文本数据库等。文本数据适用于存储大量数据和历史数据。</w:t>
      </w:r>
    </w:p>
    <w:p>
      <w:pPr>
        <w:numPr>
          <w:ilvl w:val="0"/>
          <w:numId w:val="43"/>
        </w:numPr>
        <w:spacing w:line="360" w:lineRule="auto"/>
        <w:ind w:left="840" w:leftChars="0" w:hanging="42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图像格式：图像格式是指存储数据时使用图像编码方式，如JPEG、PNG等。图像数据适用于存储图像、图表等数据。</w:t>
      </w:r>
    </w:p>
    <w:p>
      <w:pPr>
        <w:numPr>
          <w:ilvl w:val="0"/>
          <w:numId w:val="43"/>
        </w:numPr>
        <w:spacing w:line="360" w:lineRule="auto"/>
        <w:ind w:left="840" w:leftChars="0" w:hanging="42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音频格式：音频格式是指存储数据时使用音频编码方式，如MP3、WAV等。音频数据适用于存储音频、语音等数据。</w:t>
      </w:r>
    </w:p>
    <w:p>
      <w:pPr>
        <w:numPr>
          <w:ilvl w:val="0"/>
          <w:numId w:val="43"/>
        </w:numPr>
        <w:spacing w:line="360" w:lineRule="auto"/>
        <w:ind w:left="840" w:leftChars="0" w:hanging="42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视频格式：视频格式是指存储数据时使用视频编码方式，如MP4、AVI等。视频数据适用于存储视频、图像等数据。</w:t>
      </w:r>
    </w:p>
    <w:p>
      <w:pPr>
        <w:numPr>
          <w:ilvl w:val="0"/>
          <w:numId w:val="43"/>
        </w:numPr>
        <w:spacing w:line="360" w:lineRule="auto"/>
        <w:ind w:left="840" w:leftChars="0" w:hanging="420" w:firstLineChars="0"/>
        <w:rPr>
          <w:rFonts w:hint="default"/>
          <w:highlight w:val="none"/>
          <w:lang w:val="en-US" w:eastAsia="zh-CN"/>
        </w:rPr>
      </w:pPr>
      <w:r>
        <w:rPr>
          <w:rFonts w:hint="eastAsia" w:ascii="宋体" w:hAnsi="宋体" w:eastAsia="宋体" w:cs="宋体"/>
          <w:color w:val="auto"/>
          <w:highlight w:val="none"/>
          <w:lang w:val="en-US" w:eastAsia="zh-CN"/>
        </w:rPr>
        <w:t>数据库格式：数据库格式是指存储数据时使用关系型数据库管理系统，如MySQL、Oracle等。数据库数据适用于存储大量数据和复杂的业务逻辑。</w:t>
      </w:r>
    </w:p>
    <w:p>
      <w:pPr>
        <w:pStyle w:val="26"/>
        <w:bidi w:val="0"/>
        <w:outlineLvl w:val="1"/>
        <w:rPr>
          <w:rFonts w:hint="default"/>
          <w:color w:val="auto"/>
          <w:highlight w:val="none"/>
          <w:lang w:val="en-US" w:eastAsia="zh-CN"/>
        </w:rPr>
      </w:pPr>
      <w:bookmarkStart w:id="284" w:name="_Toc15796"/>
      <w:bookmarkStart w:id="285" w:name="_Toc32471"/>
      <w:bookmarkStart w:id="286" w:name="_Toc4808"/>
      <w:r>
        <w:rPr>
          <w:rFonts w:hint="eastAsia"/>
          <w:color w:val="auto"/>
          <w:highlight w:val="none"/>
          <w:lang w:val="en-US" w:eastAsia="zh-CN"/>
        </w:rPr>
        <w:t>数据采集方式维度</w:t>
      </w:r>
      <w:bookmarkEnd w:id="284"/>
      <w:bookmarkEnd w:id="285"/>
      <w:bookmarkEnd w:id="286"/>
    </w:p>
    <w:p>
      <w:pPr>
        <w:pStyle w:val="25"/>
        <w:spacing w:line="360" w:lineRule="auto"/>
        <w:rPr>
          <w:rFonts w:hint="eastAsia"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按照数据</w:t>
      </w:r>
      <w:r>
        <w:rPr>
          <w:rFonts w:hint="eastAsia" w:hAnsi="宋体" w:cs="宋体"/>
          <w:color w:val="auto"/>
          <w:sz w:val="21"/>
          <w:szCs w:val="21"/>
          <w:highlight w:val="none"/>
          <w:lang w:val="en-US" w:eastAsia="zh-CN"/>
        </w:rPr>
        <w:t>格式</w:t>
      </w:r>
      <w:r>
        <w:rPr>
          <w:rFonts w:hint="eastAsia" w:ascii="宋体" w:hAnsi="宋体" w:eastAsia="宋体" w:cs="宋体"/>
          <w:color w:val="auto"/>
          <w:sz w:val="21"/>
          <w:szCs w:val="21"/>
          <w:highlight w:val="none"/>
          <w:lang w:val="en-US" w:eastAsia="zh-CN"/>
        </w:rPr>
        <w:t>维度，工业数据可以分为</w:t>
      </w:r>
      <w:r>
        <w:rPr>
          <w:rFonts w:hint="eastAsia" w:hAnsi="宋体" w:cs="宋体"/>
          <w:color w:val="auto"/>
          <w:sz w:val="21"/>
          <w:szCs w:val="21"/>
          <w:highlight w:val="none"/>
          <w:lang w:val="en-US" w:eastAsia="zh-CN"/>
        </w:rPr>
        <w:t>人工录入数据、调查问卷数据、电话随访数据、在线采集数据、</w:t>
      </w:r>
      <w:r>
        <w:rPr>
          <w:rFonts w:hint="eastAsia" w:ascii="宋体" w:hAnsi="宋体" w:cs="宋体"/>
          <w:color w:val="auto"/>
          <w:sz w:val="21"/>
          <w:szCs w:val="21"/>
          <w:highlight w:val="none"/>
          <w:lang w:val="en-US" w:eastAsia="zh-CN"/>
        </w:rPr>
        <w:t>RFID</w:t>
      </w:r>
      <w:r>
        <w:rPr>
          <w:rFonts w:hint="eastAsia" w:hAnsi="宋体" w:cs="宋体"/>
          <w:color w:val="auto"/>
          <w:sz w:val="21"/>
          <w:szCs w:val="21"/>
          <w:highlight w:val="none"/>
          <w:lang w:val="en-US" w:eastAsia="zh-CN"/>
        </w:rPr>
        <w:t>采集数据以及大数据采集数据。</w:t>
      </w:r>
    </w:p>
    <w:p>
      <w:pPr>
        <w:numPr>
          <w:ilvl w:val="0"/>
          <w:numId w:val="44"/>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人工录入数据</w:t>
      </w:r>
      <w:r>
        <w:rPr>
          <w:rFonts w:hint="eastAsia" w:ascii="宋体" w:hAnsi="宋体"/>
          <w:color w:val="auto"/>
          <w:highlight w:val="none"/>
          <w:lang w:val="en-US" w:eastAsia="zh-CN"/>
        </w:rPr>
        <w:t>：</w:t>
      </w:r>
      <w:r>
        <w:rPr>
          <w:rFonts w:hint="eastAsia"/>
          <w:color w:val="auto"/>
          <w:highlight w:val="none"/>
          <w:lang w:val="en-US" w:eastAsia="zh-CN"/>
        </w:rPr>
        <w:t>通过人工方式录入到数据采集系统中的数据。</w:t>
      </w:r>
    </w:p>
    <w:p>
      <w:pPr>
        <w:numPr>
          <w:ilvl w:val="0"/>
          <w:numId w:val="44"/>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调查问卷数据</w:t>
      </w:r>
      <w:r>
        <w:rPr>
          <w:rFonts w:hint="eastAsia" w:ascii="宋体" w:hAnsi="宋体"/>
          <w:color w:val="auto"/>
          <w:highlight w:val="none"/>
          <w:lang w:val="en-US" w:eastAsia="zh-CN"/>
        </w:rPr>
        <w:t>：</w:t>
      </w:r>
      <w:r>
        <w:rPr>
          <w:rFonts w:hint="eastAsia"/>
          <w:color w:val="auto"/>
          <w:highlight w:val="none"/>
          <w:lang w:val="en-US" w:eastAsia="zh-CN"/>
        </w:rPr>
        <w:t>通过问卷调查的方式收集到的数据。</w:t>
      </w:r>
    </w:p>
    <w:p>
      <w:pPr>
        <w:numPr>
          <w:ilvl w:val="0"/>
          <w:numId w:val="44"/>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电话随访数据</w:t>
      </w:r>
      <w:r>
        <w:rPr>
          <w:rFonts w:hint="eastAsia" w:ascii="宋体" w:hAnsi="宋体"/>
          <w:color w:val="auto"/>
          <w:highlight w:val="none"/>
          <w:lang w:val="en-US" w:eastAsia="zh-CN"/>
        </w:rPr>
        <w:t>：</w:t>
      </w:r>
      <w:r>
        <w:rPr>
          <w:rFonts w:hint="eastAsia"/>
          <w:color w:val="auto"/>
          <w:highlight w:val="none"/>
          <w:lang w:val="en-US" w:eastAsia="zh-CN"/>
        </w:rPr>
        <w:t>通过电话方式收集到的数据。</w:t>
      </w:r>
    </w:p>
    <w:p>
      <w:pPr>
        <w:numPr>
          <w:ilvl w:val="0"/>
          <w:numId w:val="44"/>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在线采集数据</w:t>
      </w:r>
      <w:r>
        <w:rPr>
          <w:rFonts w:hint="eastAsia" w:ascii="宋体" w:hAnsi="宋体"/>
          <w:color w:val="auto"/>
          <w:highlight w:val="none"/>
          <w:lang w:val="en-US" w:eastAsia="zh-CN"/>
        </w:rPr>
        <w:t>：</w:t>
      </w:r>
      <w:r>
        <w:rPr>
          <w:rFonts w:hint="eastAsia"/>
          <w:color w:val="auto"/>
          <w:highlight w:val="none"/>
          <w:lang w:val="en-US" w:eastAsia="zh-CN"/>
        </w:rPr>
        <w:t>通过互联网和数据采集系统收集到的数据。</w:t>
      </w:r>
    </w:p>
    <w:p>
      <w:pPr>
        <w:numPr>
          <w:ilvl w:val="0"/>
          <w:numId w:val="44"/>
        </w:numPr>
        <w:spacing w:line="360" w:lineRule="auto"/>
        <w:ind w:left="840" w:leftChars="0" w:hanging="420" w:firstLineChars="0"/>
        <w:rPr>
          <w:rFonts w:hint="eastAsia"/>
          <w:color w:val="auto"/>
          <w:highlight w:val="none"/>
          <w:lang w:val="en-US" w:eastAsia="zh-CN"/>
        </w:rPr>
      </w:pPr>
      <w:r>
        <w:rPr>
          <w:rFonts w:hint="eastAsia" w:ascii="宋体" w:hAnsi="宋体" w:eastAsia="宋体" w:cs="宋体"/>
          <w:color w:val="auto"/>
          <w:kern w:val="0"/>
          <w:sz w:val="21"/>
          <w:szCs w:val="21"/>
          <w:highlight w:val="none"/>
          <w:lang w:val="en-US" w:eastAsia="zh-CN" w:bidi="ar-SA"/>
        </w:rPr>
        <w:t>RFID</w:t>
      </w:r>
      <w:r>
        <w:rPr>
          <w:rFonts w:hint="eastAsia" w:ascii="宋体" w:hAnsi="宋体" w:eastAsia="宋体" w:cs="宋体"/>
          <w:color w:val="auto"/>
          <w:highlight w:val="none"/>
          <w:lang w:val="en-US" w:eastAsia="zh-CN"/>
        </w:rPr>
        <w:t>采</w:t>
      </w:r>
      <w:r>
        <w:rPr>
          <w:rFonts w:hint="eastAsia"/>
          <w:color w:val="auto"/>
          <w:highlight w:val="none"/>
          <w:lang w:val="en-US" w:eastAsia="zh-CN"/>
        </w:rPr>
        <w:t>集数据</w:t>
      </w:r>
      <w:r>
        <w:rPr>
          <w:rFonts w:hint="eastAsia" w:ascii="宋体" w:hAnsi="宋体"/>
          <w:color w:val="auto"/>
          <w:highlight w:val="none"/>
          <w:lang w:val="en-US" w:eastAsia="zh-CN"/>
        </w:rPr>
        <w:t>：</w:t>
      </w:r>
      <w:r>
        <w:rPr>
          <w:rFonts w:hint="eastAsia"/>
          <w:color w:val="auto"/>
          <w:highlight w:val="none"/>
          <w:lang w:val="en-US" w:eastAsia="zh-CN"/>
        </w:rPr>
        <w:t>通过射频信号自动识别目标对象并获取到的数据。</w:t>
      </w:r>
    </w:p>
    <w:p>
      <w:pPr>
        <w:numPr>
          <w:ilvl w:val="0"/>
          <w:numId w:val="44"/>
        </w:numPr>
        <w:spacing w:line="360" w:lineRule="auto"/>
        <w:ind w:left="840" w:leftChars="0" w:hanging="420" w:firstLineChars="0"/>
        <w:rPr>
          <w:rFonts w:hint="default" w:hAnsi="宋体" w:cs="宋体"/>
          <w:color w:val="auto"/>
          <w:sz w:val="21"/>
          <w:szCs w:val="21"/>
          <w:highlight w:val="none"/>
          <w:lang w:val="en-US" w:eastAsia="zh-CN"/>
        </w:rPr>
      </w:pPr>
      <w:r>
        <w:rPr>
          <w:rFonts w:hint="eastAsia"/>
          <w:color w:val="auto"/>
          <w:highlight w:val="none"/>
          <w:lang w:val="en-US" w:eastAsia="zh-CN"/>
        </w:rPr>
        <w:t>大数据采集数据</w:t>
      </w:r>
      <w:r>
        <w:rPr>
          <w:rFonts w:hint="eastAsia" w:ascii="宋体" w:hAnsi="宋体"/>
          <w:color w:val="auto"/>
          <w:highlight w:val="none"/>
          <w:lang w:val="en-US" w:eastAsia="zh-CN"/>
        </w:rPr>
        <w:t>：</w:t>
      </w:r>
      <w:r>
        <w:rPr>
          <w:rFonts w:hint="eastAsia"/>
          <w:color w:val="auto"/>
          <w:highlight w:val="none"/>
          <w:lang w:val="en-US" w:eastAsia="zh-CN"/>
        </w:rPr>
        <w:t>这种方式是指通过各种传感器和数据分析技术来获取到的海量的数据。</w:t>
      </w:r>
    </w:p>
    <w:p>
      <w:pPr>
        <w:pStyle w:val="26"/>
        <w:bidi w:val="0"/>
        <w:outlineLvl w:val="1"/>
        <w:rPr>
          <w:rFonts w:hint="default"/>
          <w:color w:val="auto"/>
          <w:highlight w:val="none"/>
          <w:lang w:val="en-US" w:eastAsia="zh-CN"/>
        </w:rPr>
      </w:pPr>
      <w:bookmarkStart w:id="287" w:name="_Toc20994"/>
      <w:bookmarkStart w:id="288" w:name="_Toc28897"/>
      <w:bookmarkStart w:id="289" w:name="_Toc14367"/>
      <w:r>
        <w:rPr>
          <w:rFonts w:hint="eastAsia"/>
          <w:color w:val="auto"/>
          <w:highlight w:val="none"/>
          <w:lang w:val="en-US" w:eastAsia="zh-CN"/>
        </w:rPr>
        <w:t>时间维度</w:t>
      </w:r>
      <w:bookmarkEnd w:id="287"/>
      <w:bookmarkEnd w:id="288"/>
      <w:bookmarkEnd w:id="289"/>
    </w:p>
    <w:p>
      <w:pPr>
        <w:pStyle w:val="25"/>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按照时间维度，工业数据可以分为历史数据、实时数据和预测数据。</w:t>
      </w:r>
    </w:p>
    <w:p>
      <w:pPr>
        <w:numPr>
          <w:ilvl w:val="0"/>
          <w:numId w:val="45"/>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历史数据</w:t>
      </w:r>
      <w:r>
        <w:rPr>
          <w:rFonts w:hint="eastAsia" w:ascii="宋体" w:hAnsi="宋体"/>
          <w:color w:val="auto"/>
          <w:highlight w:val="none"/>
          <w:lang w:val="en-US" w:eastAsia="zh-CN"/>
        </w:rPr>
        <w:t>：</w:t>
      </w:r>
      <w:r>
        <w:rPr>
          <w:rFonts w:hint="default"/>
          <w:color w:val="auto"/>
          <w:highlight w:val="none"/>
          <w:lang w:val="en-US" w:eastAsia="zh-CN"/>
        </w:rPr>
        <w:t>在过去某个时间点之前收集的数据，通常用于分析过去的情况和趋势，但不能用于预测未来的情况。例如，工厂生产数据、设备运行数据、客户订单数据等。</w:t>
      </w:r>
    </w:p>
    <w:p>
      <w:pPr>
        <w:numPr>
          <w:ilvl w:val="0"/>
          <w:numId w:val="45"/>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实时数据</w:t>
      </w:r>
      <w:r>
        <w:rPr>
          <w:rFonts w:hint="eastAsia" w:ascii="宋体" w:hAnsi="宋体"/>
          <w:color w:val="auto"/>
          <w:highlight w:val="none"/>
          <w:lang w:val="en-US" w:eastAsia="zh-CN"/>
        </w:rPr>
        <w:t>：</w:t>
      </w:r>
      <w:r>
        <w:rPr>
          <w:rFonts w:hint="default"/>
          <w:color w:val="auto"/>
          <w:highlight w:val="none"/>
          <w:lang w:val="en-US" w:eastAsia="zh-CN"/>
        </w:rPr>
        <w:t>在当前时刻收集的数据，通常用于实时决策和控制，但需要及时更新以反映实时的情况。例如，机器人控制数据、生产线监控数据、环境监测数据等。</w:t>
      </w:r>
    </w:p>
    <w:p>
      <w:pPr>
        <w:numPr>
          <w:ilvl w:val="0"/>
          <w:numId w:val="45"/>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预测数据</w:t>
      </w:r>
      <w:r>
        <w:rPr>
          <w:rFonts w:hint="eastAsia" w:ascii="宋体" w:hAnsi="宋体"/>
          <w:color w:val="auto"/>
          <w:highlight w:val="none"/>
          <w:lang w:val="en-US" w:eastAsia="zh-CN"/>
        </w:rPr>
        <w:t>：</w:t>
      </w:r>
      <w:r>
        <w:rPr>
          <w:rFonts w:hint="default"/>
          <w:color w:val="auto"/>
          <w:highlight w:val="none"/>
          <w:lang w:val="en-US" w:eastAsia="zh-CN"/>
        </w:rPr>
        <w:t>基于历史数据和实时数据的预测结果，通常用于预测未来的情况，但需要进行模型训练和调整以提高预测的准确性。例如，销售预测数据、库存预测数据、生产计划数据等。</w:t>
      </w:r>
    </w:p>
    <w:p>
      <w:pPr>
        <w:pStyle w:val="26"/>
        <w:bidi w:val="0"/>
        <w:outlineLvl w:val="1"/>
        <w:rPr>
          <w:rFonts w:hint="default"/>
          <w:lang w:val="en-US" w:eastAsia="zh-CN"/>
        </w:rPr>
      </w:pPr>
      <w:bookmarkStart w:id="290" w:name="_Toc17851"/>
      <w:bookmarkStart w:id="291" w:name="_Toc28720"/>
      <w:bookmarkStart w:id="292" w:name="_Toc7036"/>
      <w:r>
        <w:rPr>
          <w:rFonts w:hint="eastAsia"/>
          <w:lang w:val="en-US" w:eastAsia="zh-CN"/>
        </w:rPr>
        <w:t>数据用途维度</w:t>
      </w:r>
      <w:bookmarkEnd w:id="290"/>
      <w:bookmarkEnd w:id="291"/>
      <w:bookmarkEnd w:id="292"/>
    </w:p>
    <w:p>
      <w:pPr>
        <w:pStyle w:val="25"/>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按照数据用途维度，工业数据可以分为生产数据、经营管理数据以及决策支持数据。</w:t>
      </w:r>
    </w:p>
    <w:p>
      <w:pPr>
        <w:numPr>
          <w:ilvl w:val="0"/>
          <w:numId w:val="46"/>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生产数据</w:t>
      </w:r>
      <w:r>
        <w:rPr>
          <w:rFonts w:hint="eastAsia" w:ascii="宋体" w:hAnsi="宋体"/>
          <w:color w:val="auto"/>
          <w:highlight w:val="none"/>
          <w:lang w:val="en-US" w:eastAsia="zh-CN"/>
        </w:rPr>
        <w:t>：</w:t>
      </w:r>
      <w:r>
        <w:rPr>
          <w:rFonts w:hint="default"/>
          <w:color w:val="auto"/>
          <w:highlight w:val="none"/>
          <w:lang w:val="en-US" w:eastAsia="zh-CN"/>
        </w:rPr>
        <w:t>工厂生产过程中产生的各种数据，如设备运行数据、产品质量数据、工艺参数数据等。这些数据用于监测生产过程，优化生产工艺，提高生产效率和产品质量。</w:t>
      </w:r>
    </w:p>
    <w:p>
      <w:pPr>
        <w:numPr>
          <w:ilvl w:val="0"/>
          <w:numId w:val="46"/>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经营管理数据</w:t>
      </w:r>
      <w:r>
        <w:rPr>
          <w:rFonts w:hint="eastAsia" w:ascii="宋体" w:hAnsi="宋体"/>
          <w:color w:val="auto"/>
          <w:highlight w:val="none"/>
          <w:lang w:val="en-US" w:eastAsia="zh-CN"/>
        </w:rPr>
        <w:t>：</w:t>
      </w:r>
      <w:r>
        <w:rPr>
          <w:rFonts w:hint="default"/>
          <w:color w:val="auto"/>
          <w:highlight w:val="none"/>
          <w:lang w:val="en-US" w:eastAsia="zh-CN"/>
        </w:rPr>
        <w:t>企业经营管理过程中产生的各种数据，如销售数据、库存数据、财务数据等。这些数据用于优化企业的经营策略，提高企业的经济效益。</w:t>
      </w:r>
    </w:p>
    <w:p>
      <w:pPr>
        <w:numPr>
          <w:ilvl w:val="0"/>
          <w:numId w:val="46"/>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决策支持数据</w:t>
      </w:r>
      <w:r>
        <w:rPr>
          <w:rFonts w:hint="eastAsia" w:ascii="宋体" w:hAnsi="宋体"/>
          <w:color w:val="auto"/>
          <w:highlight w:val="none"/>
          <w:lang w:val="en-US" w:eastAsia="zh-CN"/>
        </w:rPr>
        <w:t>：</w:t>
      </w:r>
      <w:r>
        <w:rPr>
          <w:rFonts w:hint="default"/>
          <w:color w:val="auto"/>
          <w:highlight w:val="none"/>
          <w:lang w:val="en-US" w:eastAsia="zh-CN"/>
        </w:rPr>
        <w:t>企业决策过程中产生的各种数据，如市场调研数据、客户需求数据、竞争对手数据等。这些数据用于支持企业的经营管理和决策过程，提高决策的准确性和效率。</w:t>
      </w:r>
    </w:p>
    <w:p>
      <w:pPr>
        <w:pStyle w:val="26"/>
        <w:bidi w:val="0"/>
        <w:outlineLvl w:val="1"/>
        <w:rPr>
          <w:rFonts w:hint="default"/>
          <w:lang w:val="en-US" w:eastAsia="zh-CN"/>
        </w:rPr>
      </w:pPr>
      <w:bookmarkStart w:id="293" w:name="_Toc26804"/>
      <w:bookmarkStart w:id="294" w:name="_Toc3113"/>
      <w:bookmarkStart w:id="295" w:name="_Toc2707"/>
      <w:r>
        <w:rPr>
          <w:rFonts w:hint="eastAsia"/>
          <w:lang w:val="en-US" w:eastAsia="zh-CN"/>
        </w:rPr>
        <w:t>空间范围维度</w:t>
      </w:r>
      <w:bookmarkEnd w:id="293"/>
      <w:bookmarkEnd w:id="294"/>
      <w:bookmarkEnd w:id="295"/>
    </w:p>
    <w:p>
      <w:pPr>
        <w:pStyle w:val="25"/>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按照空间范围维度，工业数据可以分为全球级别数据、国家级别数据、地区级别数据、企业级别数据、设备级别数据以及人员级别数据。</w:t>
      </w:r>
    </w:p>
    <w:p>
      <w:pPr>
        <w:numPr>
          <w:ilvl w:val="0"/>
          <w:numId w:val="47"/>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全球级别数据</w:t>
      </w:r>
      <w:r>
        <w:rPr>
          <w:rFonts w:hint="eastAsia" w:ascii="宋体" w:hAnsi="宋体"/>
          <w:color w:val="auto"/>
          <w:highlight w:val="none"/>
          <w:lang w:val="en-US" w:eastAsia="zh-CN"/>
        </w:rPr>
        <w:t>：</w:t>
      </w:r>
      <w:r>
        <w:rPr>
          <w:rFonts w:hint="default"/>
          <w:color w:val="auto"/>
          <w:highlight w:val="none"/>
          <w:lang w:val="en-US" w:eastAsia="zh-CN"/>
        </w:rPr>
        <w:t>这些数据涵盖了全球范围内的工业数据，例如工厂生产的产品、交通运输的数据、气候变化的数据等。这些数据对于理解全球工业系统的运行和影响非常重要。</w:t>
      </w:r>
    </w:p>
    <w:p>
      <w:pPr>
        <w:numPr>
          <w:ilvl w:val="0"/>
          <w:numId w:val="47"/>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国家级别数据</w:t>
      </w:r>
      <w:r>
        <w:rPr>
          <w:rFonts w:hint="eastAsia" w:ascii="宋体" w:hAnsi="宋体"/>
          <w:color w:val="auto"/>
          <w:highlight w:val="none"/>
          <w:lang w:val="en-US" w:eastAsia="zh-CN"/>
        </w:rPr>
        <w:t>：</w:t>
      </w:r>
      <w:r>
        <w:rPr>
          <w:rFonts w:hint="default"/>
          <w:color w:val="auto"/>
          <w:highlight w:val="none"/>
          <w:lang w:val="en-US" w:eastAsia="zh-CN"/>
        </w:rPr>
        <w:t>这些数据是某个国家或地区的工业数据，例如某个国家或地区的工业生产数据、工业设备数据、工业能源消耗数据等。这些数据对于了解该国或地区的工业发展情况和趋势非常重要。</w:t>
      </w:r>
    </w:p>
    <w:p>
      <w:pPr>
        <w:numPr>
          <w:ilvl w:val="0"/>
          <w:numId w:val="47"/>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地区级别数据</w:t>
      </w:r>
      <w:r>
        <w:rPr>
          <w:rFonts w:hint="eastAsia" w:ascii="宋体" w:hAnsi="宋体"/>
          <w:color w:val="auto"/>
          <w:highlight w:val="none"/>
          <w:lang w:val="en-US" w:eastAsia="zh-CN"/>
        </w:rPr>
        <w:t>：</w:t>
      </w:r>
      <w:r>
        <w:rPr>
          <w:rFonts w:hint="default"/>
          <w:color w:val="auto"/>
          <w:highlight w:val="none"/>
          <w:lang w:val="en-US" w:eastAsia="zh-CN"/>
        </w:rPr>
        <w:t>这些数据是某个地区的工业数据，例如某个城市或地区的工业生产数据、工业设备数据、工业能源消耗数据等。这些数据对于了解该地区的工业发展情况和趋势非常重要。</w:t>
      </w:r>
    </w:p>
    <w:p>
      <w:pPr>
        <w:numPr>
          <w:ilvl w:val="0"/>
          <w:numId w:val="47"/>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企业级别数据</w:t>
      </w:r>
      <w:r>
        <w:rPr>
          <w:rFonts w:hint="eastAsia" w:ascii="宋体" w:hAnsi="宋体"/>
          <w:color w:val="auto"/>
          <w:highlight w:val="none"/>
          <w:lang w:val="en-US" w:eastAsia="zh-CN"/>
        </w:rPr>
        <w:t>：</w:t>
      </w:r>
      <w:r>
        <w:rPr>
          <w:rFonts w:hint="default"/>
          <w:color w:val="auto"/>
          <w:highlight w:val="none"/>
          <w:lang w:val="en-US" w:eastAsia="zh-CN"/>
        </w:rPr>
        <w:t>这些数据是某个企业的工业数据，例如某个工厂的生产数据、工业设备数据、工业能源消耗数据等。这些数据对于了解该企业的生产情况和效率非常重要。</w:t>
      </w:r>
    </w:p>
    <w:p>
      <w:pPr>
        <w:numPr>
          <w:ilvl w:val="0"/>
          <w:numId w:val="47"/>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设备级别数据</w:t>
      </w:r>
      <w:r>
        <w:rPr>
          <w:rFonts w:hint="eastAsia" w:ascii="宋体" w:hAnsi="宋体"/>
          <w:color w:val="auto"/>
          <w:highlight w:val="none"/>
          <w:lang w:val="en-US" w:eastAsia="zh-CN"/>
        </w:rPr>
        <w:t>：</w:t>
      </w:r>
      <w:r>
        <w:rPr>
          <w:rFonts w:hint="default"/>
          <w:color w:val="auto"/>
          <w:highlight w:val="none"/>
          <w:lang w:val="en-US" w:eastAsia="zh-CN"/>
        </w:rPr>
        <w:t>这些数据是某个设备的工业数据，例如某个工业设备的生产数据、工业设备的运行数据、工业设备的维护数据等。这些数据对于了解该设备的运行情况和效率非常重要。</w:t>
      </w:r>
    </w:p>
    <w:p>
      <w:pPr>
        <w:numPr>
          <w:ilvl w:val="0"/>
          <w:numId w:val="47"/>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人员级别数据</w:t>
      </w:r>
      <w:r>
        <w:rPr>
          <w:rFonts w:hint="eastAsia" w:ascii="宋体" w:hAnsi="宋体"/>
          <w:color w:val="auto"/>
          <w:highlight w:val="none"/>
          <w:lang w:val="en-US" w:eastAsia="zh-CN"/>
        </w:rPr>
        <w:t>：</w:t>
      </w:r>
      <w:r>
        <w:rPr>
          <w:rFonts w:hint="default"/>
          <w:color w:val="auto"/>
          <w:highlight w:val="none"/>
          <w:lang w:val="en-US" w:eastAsia="zh-CN"/>
        </w:rPr>
        <w:t>这些数据是某个人员的工业数据，例如某个工人的生产数据、工人的工作时间数据、工人的工作效率数据等。这些数据对于了解该人员的工作情况和效率非常重要。</w:t>
      </w:r>
    </w:p>
    <w:p>
      <w:pPr>
        <w:pStyle w:val="26"/>
        <w:bidi w:val="0"/>
        <w:outlineLvl w:val="1"/>
        <w:rPr>
          <w:rFonts w:hint="default"/>
          <w:lang w:val="en-US" w:eastAsia="zh-CN"/>
        </w:rPr>
      </w:pPr>
      <w:bookmarkStart w:id="296" w:name="_Toc1582"/>
      <w:bookmarkStart w:id="297" w:name="_Toc30643"/>
      <w:bookmarkStart w:id="298" w:name="_Toc27416"/>
      <w:r>
        <w:rPr>
          <w:rFonts w:hint="eastAsia"/>
          <w:lang w:val="en-US" w:eastAsia="zh-CN"/>
        </w:rPr>
        <w:t>数据的应用层次维度</w:t>
      </w:r>
      <w:bookmarkEnd w:id="296"/>
      <w:bookmarkEnd w:id="297"/>
      <w:bookmarkEnd w:id="298"/>
    </w:p>
    <w:p>
      <w:pPr>
        <w:pStyle w:val="25"/>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w:t>
      </w:r>
      <w:r>
        <w:rPr>
          <w:rFonts w:hint="eastAsia" w:hAnsi="宋体" w:cs="宋体"/>
          <w:color w:val="auto"/>
          <w:sz w:val="21"/>
          <w:szCs w:val="21"/>
          <w:highlight w:val="none"/>
          <w:lang w:val="en-US" w:eastAsia="zh-CN"/>
        </w:rPr>
        <w:t>数据的应用层次</w:t>
      </w:r>
      <w:r>
        <w:rPr>
          <w:rFonts w:hint="eastAsia" w:ascii="宋体" w:hAnsi="宋体" w:eastAsia="宋体" w:cs="宋体"/>
          <w:color w:val="auto"/>
          <w:sz w:val="21"/>
          <w:szCs w:val="21"/>
          <w:highlight w:val="none"/>
          <w:lang w:val="en-US" w:eastAsia="zh-CN"/>
        </w:rPr>
        <w:t>维度，工业数据可以分为</w:t>
      </w:r>
      <w:r>
        <w:rPr>
          <w:rFonts w:hint="eastAsia" w:hAnsi="宋体" w:cs="宋体"/>
          <w:color w:val="auto"/>
          <w:sz w:val="21"/>
          <w:szCs w:val="21"/>
          <w:highlight w:val="none"/>
          <w:lang w:val="en-US" w:eastAsia="zh-CN"/>
        </w:rPr>
        <w:t>元数据、参考数据、主数据、事务数据、分析数据以及规则数据。</w:t>
      </w:r>
    </w:p>
    <w:p>
      <w:pPr>
        <w:numPr>
          <w:ilvl w:val="0"/>
          <w:numId w:val="48"/>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元数据</w:t>
      </w:r>
      <w:r>
        <w:rPr>
          <w:rFonts w:hint="eastAsia" w:ascii="宋体" w:hAnsi="宋体"/>
          <w:color w:val="auto"/>
          <w:highlight w:val="none"/>
          <w:lang w:val="en-US" w:eastAsia="zh-CN"/>
        </w:rPr>
        <w:t>：</w:t>
      </w:r>
      <w:r>
        <w:rPr>
          <w:rFonts w:hint="default"/>
          <w:color w:val="auto"/>
          <w:highlight w:val="none"/>
          <w:lang w:val="en-US" w:eastAsia="zh-CN"/>
        </w:rPr>
        <w:t>描述工业数据的结构、格式、语义等的数据，是工业数据的基础和核心。元数据可以包含工业设备、工艺流程、生产数据、环境数据等各种类型的数据，是工业数据分类和管理的基础。</w:t>
      </w:r>
    </w:p>
    <w:p>
      <w:pPr>
        <w:numPr>
          <w:ilvl w:val="0"/>
          <w:numId w:val="48"/>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参考数据</w:t>
      </w:r>
      <w:r>
        <w:rPr>
          <w:rFonts w:hint="eastAsia" w:ascii="宋体" w:hAnsi="宋体"/>
          <w:color w:val="auto"/>
          <w:highlight w:val="none"/>
          <w:lang w:val="en-US" w:eastAsia="zh-CN"/>
        </w:rPr>
        <w:t>：</w:t>
      </w:r>
      <w:r>
        <w:rPr>
          <w:rFonts w:hint="default"/>
          <w:color w:val="auto"/>
          <w:highlight w:val="none"/>
          <w:lang w:val="en-US" w:eastAsia="zh-CN"/>
        </w:rPr>
        <w:t>描述工业数据来源和质量的数据，是元数据的补充。参考数据可以包含实验数据、测量数据、图像数据等各种类型的数据，用于支持元数据的标准化和规范化。</w:t>
      </w:r>
    </w:p>
    <w:p>
      <w:pPr>
        <w:numPr>
          <w:ilvl w:val="0"/>
          <w:numId w:val="48"/>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主数据</w:t>
      </w:r>
      <w:r>
        <w:rPr>
          <w:rFonts w:hint="eastAsia" w:ascii="宋体" w:hAnsi="宋体"/>
          <w:color w:val="auto"/>
          <w:highlight w:val="none"/>
          <w:lang w:val="en-US" w:eastAsia="zh-CN"/>
        </w:rPr>
        <w:t>：</w:t>
      </w:r>
      <w:r>
        <w:rPr>
          <w:rFonts w:hint="default"/>
          <w:color w:val="auto"/>
          <w:highlight w:val="none"/>
          <w:lang w:val="en-US" w:eastAsia="zh-CN"/>
        </w:rPr>
        <w:t>描述工业企业或组织的基本信息、业务逻辑、数据资源等的数据，是工业数据的主要来源。主数据可以包含企业的组织结构、人员信息、设备信息、供应链信息等各种类型的数据，是工业数据分类和管理的核心。</w:t>
      </w:r>
    </w:p>
    <w:p>
      <w:pPr>
        <w:numPr>
          <w:ilvl w:val="0"/>
          <w:numId w:val="48"/>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事务数据</w:t>
      </w:r>
      <w:r>
        <w:rPr>
          <w:rFonts w:hint="eastAsia" w:ascii="宋体" w:hAnsi="宋体"/>
          <w:color w:val="auto"/>
          <w:highlight w:val="none"/>
          <w:lang w:val="en-US" w:eastAsia="zh-CN"/>
        </w:rPr>
        <w:t>：</w:t>
      </w:r>
      <w:r>
        <w:rPr>
          <w:rFonts w:hint="default"/>
          <w:color w:val="auto"/>
          <w:highlight w:val="none"/>
          <w:lang w:val="en-US" w:eastAsia="zh-CN"/>
        </w:rPr>
        <w:t>工业生产过程中的实时数据和事务性数据，包含生产数据、环境数据、设备状态等各种类型的数据，用于支持生产过程的监控和优化。</w:t>
      </w:r>
    </w:p>
    <w:p>
      <w:pPr>
        <w:numPr>
          <w:ilvl w:val="0"/>
          <w:numId w:val="48"/>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分析数据</w:t>
      </w:r>
      <w:r>
        <w:rPr>
          <w:rFonts w:hint="eastAsia" w:ascii="宋体" w:hAnsi="宋体"/>
          <w:color w:val="auto"/>
          <w:highlight w:val="none"/>
          <w:lang w:val="en-US" w:eastAsia="zh-CN"/>
        </w:rPr>
        <w:t>：</w:t>
      </w:r>
      <w:r>
        <w:rPr>
          <w:rFonts w:hint="default"/>
          <w:color w:val="auto"/>
          <w:highlight w:val="none"/>
          <w:lang w:val="en-US" w:eastAsia="zh-CN"/>
        </w:rPr>
        <w:t>对工业数据进行分析和挖掘的结果数据，包含统计数据、图像数据、文本数据等各种类型的数据，用于支持数据分析和挖掘的过程。</w:t>
      </w:r>
    </w:p>
    <w:p>
      <w:pPr>
        <w:numPr>
          <w:ilvl w:val="0"/>
          <w:numId w:val="48"/>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规则数据</w:t>
      </w:r>
      <w:r>
        <w:rPr>
          <w:rFonts w:hint="eastAsia" w:ascii="宋体" w:hAnsi="宋体"/>
          <w:color w:val="auto"/>
          <w:highlight w:val="none"/>
          <w:lang w:val="en-US" w:eastAsia="zh-CN"/>
        </w:rPr>
        <w:t>：</w:t>
      </w:r>
      <w:r>
        <w:rPr>
          <w:rFonts w:hint="default"/>
          <w:color w:val="auto"/>
          <w:highlight w:val="none"/>
          <w:lang w:val="en-US" w:eastAsia="zh-CN"/>
        </w:rPr>
        <w:t>描述工业生产过程中的规则和标准的数据</w:t>
      </w:r>
      <w:r>
        <w:rPr>
          <w:rFonts w:hint="eastAsia"/>
          <w:color w:val="auto"/>
          <w:highlight w:val="none"/>
          <w:lang w:val="en-US" w:eastAsia="zh-CN"/>
        </w:rPr>
        <w:t>，</w:t>
      </w:r>
      <w:r>
        <w:rPr>
          <w:rFonts w:hint="default"/>
          <w:color w:val="auto"/>
          <w:highlight w:val="none"/>
          <w:lang w:val="en-US" w:eastAsia="zh-CN"/>
        </w:rPr>
        <w:t>包含工艺参数、生产计划、安全规范等各种类型的数据，用于支持生产过程的稳定和安全。</w:t>
      </w:r>
    </w:p>
    <w:p>
      <w:pPr>
        <w:pStyle w:val="26"/>
        <w:bidi w:val="0"/>
        <w:outlineLvl w:val="1"/>
        <w:rPr>
          <w:rFonts w:hint="default"/>
          <w:lang w:val="en-US" w:eastAsia="zh-CN"/>
        </w:rPr>
      </w:pPr>
      <w:bookmarkStart w:id="299" w:name="_Toc4354"/>
      <w:bookmarkStart w:id="300" w:name="_Toc30312"/>
      <w:bookmarkStart w:id="301" w:name="_Toc29719"/>
      <w:r>
        <w:rPr>
          <w:rFonts w:hint="eastAsia"/>
          <w:lang w:val="en-US" w:eastAsia="zh-CN"/>
        </w:rPr>
        <w:t>描述事物的角度维度</w:t>
      </w:r>
      <w:bookmarkEnd w:id="299"/>
      <w:bookmarkEnd w:id="300"/>
      <w:bookmarkEnd w:id="301"/>
    </w:p>
    <w:p>
      <w:pPr>
        <w:pStyle w:val="25"/>
        <w:rPr>
          <w:rFonts w:hint="eastAsia"/>
          <w:color w:val="auto"/>
          <w:highlight w:val="none"/>
          <w:lang w:val="en-US" w:eastAsia="zh-CN"/>
        </w:rPr>
      </w:pPr>
      <w:r>
        <w:rPr>
          <w:rFonts w:hint="eastAsia"/>
          <w:color w:val="auto"/>
          <w:highlight w:val="none"/>
          <w:lang w:val="en-US" w:eastAsia="zh-CN"/>
        </w:rPr>
        <w:t>按照描述事物的角度维度，工业数据可以分为状态类数据、事件类数据和混合类数据。</w:t>
      </w:r>
    </w:p>
    <w:p>
      <w:pPr>
        <w:numPr>
          <w:ilvl w:val="0"/>
          <w:numId w:val="49"/>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状态类数据</w:t>
      </w:r>
      <w:r>
        <w:rPr>
          <w:rFonts w:hint="eastAsia" w:ascii="宋体" w:hAnsi="宋体"/>
          <w:color w:val="auto"/>
          <w:highlight w:val="none"/>
          <w:lang w:val="en-US" w:eastAsia="zh-CN"/>
        </w:rPr>
        <w:t>：</w:t>
      </w:r>
      <w:r>
        <w:rPr>
          <w:rFonts w:hint="default"/>
          <w:color w:val="auto"/>
          <w:highlight w:val="none"/>
          <w:lang w:val="en-US" w:eastAsia="zh-CN"/>
        </w:rPr>
        <w:t>描述系统或设备的当前状态，例如温度、压力、流量等。这些数据通常是连续变化的，并且可以通过传感器或其他设备采集到。</w:t>
      </w:r>
    </w:p>
    <w:p>
      <w:pPr>
        <w:numPr>
          <w:ilvl w:val="0"/>
          <w:numId w:val="49"/>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事件类数据</w:t>
      </w:r>
      <w:r>
        <w:rPr>
          <w:rFonts w:hint="eastAsia" w:ascii="宋体" w:hAnsi="宋体"/>
          <w:color w:val="auto"/>
          <w:highlight w:val="none"/>
          <w:lang w:val="en-US" w:eastAsia="zh-CN"/>
        </w:rPr>
        <w:t>：</w:t>
      </w:r>
      <w:r>
        <w:rPr>
          <w:rFonts w:hint="default"/>
          <w:color w:val="auto"/>
          <w:highlight w:val="none"/>
          <w:lang w:val="en-US" w:eastAsia="zh-CN"/>
        </w:rPr>
        <w:t>描述系统或设备的事件发生的时间、地点、类型等，例如开关机、故障诊断等。这些数据通常是离散的，并且可以通过系统的记录或报警器等设备采集到。</w:t>
      </w:r>
    </w:p>
    <w:p>
      <w:pPr>
        <w:numPr>
          <w:ilvl w:val="0"/>
          <w:numId w:val="49"/>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混合类数据</w:t>
      </w:r>
      <w:r>
        <w:rPr>
          <w:rFonts w:hint="eastAsia" w:ascii="宋体" w:hAnsi="宋体"/>
          <w:color w:val="auto"/>
          <w:highlight w:val="none"/>
          <w:lang w:val="en-US" w:eastAsia="zh-CN"/>
        </w:rPr>
        <w:t>：</w:t>
      </w:r>
      <w:r>
        <w:rPr>
          <w:rFonts w:hint="default"/>
          <w:color w:val="auto"/>
          <w:highlight w:val="none"/>
          <w:lang w:val="en-US" w:eastAsia="zh-CN"/>
        </w:rPr>
        <w:t>介于状态类数据和事件类数据之间，它既包含状态信息，也包含事件信息。例如，生产过程中，系统需要同时记录产品的质量和产量，因此混合类数据包含状态类数据和事件类数据。</w:t>
      </w:r>
    </w:p>
    <w:p>
      <w:pPr>
        <w:pStyle w:val="26"/>
        <w:bidi w:val="0"/>
        <w:outlineLvl w:val="1"/>
        <w:rPr>
          <w:rFonts w:hint="default"/>
          <w:color w:val="auto"/>
          <w:highlight w:val="none"/>
          <w:lang w:val="en-US" w:eastAsia="zh-CN"/>
        </w:rPr>
      </w:pPr>
      <w:bookmarkStart w:id="302" w:name="_Toc8795"/>
      <w:bookmarkStart w:id="303" w:name="_Toc30793"/>
      <w:bookmarkStart w:id="304" w:name="_Toc32164"/>
      <w:r>
        <w:rPr>
          <w:rFonts w:hint="eastAsia"/>
          <w:color w:val="auto"/>
          <w:highlight w:val="none"/>
          <w:lang w:val="en-US" w:eastAsia="zh-CN"/>
        </w:rPr>
        <w:t>数据离散属性维度</w:t>
      </w:r>
      <w:bookmarkEnd w:id="302"/>
      <w:bookmarkEnd w:id="303"/>
      <w:bookmarkEnd w:id="304"/>
    </w:p>
    <w:p>
      <w:pPr>
        <w:pStyle w:val="25"/>
        <w:spacing w:line="360" w:lineRule="auto"/>
        <w:rPr>
          <w:rFonts w:hint="eastAsia"/>
          <w:color w:val="auto"/>
          <w:highlight w:val="none"/>
          <w:lang w:val="en-US" w:eastAsia="zh-CN"/>
        </w:rPr>
      </w:pPr>
      <w:r>
        <w:rPr>
          <w:rFonts w:hint="eastAsia"/>
          <w:color w:val="auto"/>
          <w:highlight w:val="none"/>
          <w:lang w:val="en-US" w:eastAsia="zh-CN"/>
        </w:rPr>
        <w:t>按照数据离散属性维度，工业数据可以分为连续型数据、离散型数据。</w:t>
      </w:r>
    </w:p>
    <w:p>
      <w:pPr>
        <w:numPr>
          <w:ilvl w:val="0"/>
          <w:numId w:val="50"/>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连续型数据</w:t>
      </w:r>
      <w:r>
        <w:rPr>
          <w:rFonts w:hint="eastAsia" w:ascii="宋体" w:hAnsi="宋体"/>
          <w:color w:val="auto"/>
          <w:highlight w:val="none"/>
          <w:lang w:val="en-US" w:eastAsia="zh-CN"/>
        </w:rPr>
        <w:t>：</w:t>
      </w:r>
      <w:r>
        <w:rPr>
          <w:rFonts w:hint="default"/>
          <w:color w:val="auto"/>
          <w:highlight w:val="none"/>
          <w:lang w:val="en-US" w:eastAsia="zh-CN"/>
        </w:rPr>
        <w:t>数据元素之间具有连续变化关系的数据，例如生产线上的产品数量、库存量等。这类数据可以用数学模型或计算方法进行处理和分析。</w:t>
      </w:r>
    </w:p>
    <w:p>
      <w:pPr>
        <w:numPr>
          <w:ilvl w:val="0"/>
          <w:numId w:val="50"/>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离散型数据</w:t>
      </w:r>
      <w:r>
        <w:rPr>
          <w:rFonts w:hint="eastAsia" w:ascii="宋体" w:hAnsi="宋体"/>
          <w:color w:val="auto"/>
          <w:highlight w:val="none"/>
          <w:lang w:val="en-US" w:eastAsia="zh-CN"/>
        </w:rPr>
        <w:t>：</w:t>
      </w:r>
      <w:r>
        <w:rPr>
          <w:rFonts w:hint="default"/>
          <w:color w:val="auto"/>
          <w:highlight w:val="none"/>
          <w:lang w:val="en-US" w:eastAsia="zh-CN"/>
        </w:rPr>
        <w:t>数据元素之间具有离散变化关系的数据，例如测量结果、故障记录等。这类数据需要根据具体的数据类型和特点进行处理和分析。</w:t>
      </w:r>
    </w:p>
    <w:p>
      <w:pPr>
        <w:pStyle w:val="26"/>
        <w:bidi w:val="0"/>
        <w:outlineLvl w:val="1"/>
        <w:rPr>
          <w:rFonts w:hint="default"/>
          <w:lang w:val="en-US" w:eastAsia="zh-CN"/>
        </w:rPr>
      </w:pPr>
      <w:bookmarkStart w:id="305" w:name="_Toc18411"/>
      <w:bookmarkStart w:id="306" w:name="_Toc1523"/>
      <w:bookmarkStart w:id="307" w:name="_Toc29073"/>
      <w:r>
        <w:rPr>
          <w:rFonts w:hint="eastAsia"/>
          <w:lang w:val="en-US" w:eastAsia="zh-CN"/>
        </w:rPr>
        <w:t>数据粒度维度</w:t>
      </w:r>
      <w:bookmarkEnd w:id="305"/>
      <w:bookmarkEnd w:id="306"/>
      <w:bookmarkEnd w:id="307"/>
    </w:p>
    <w:p>
      <w:pPr>
        <w:pStyle w:val="25"/>
        <w:spacing w:line="360" w:lineRule="auto"/>
        <w:rPr>
          <w:rFonts w:hint="eastAsia"/>
          <w:color w:val="auto"/>
          <w:highlight w:val="none"/>
          <w:lang w:val="en-US" w:eastAsia="zh-CN"/>
        </w:rPr>
      </w:pPr>
      <w:r>
        <w:rPr>
          <w:rFonts w:hint="eastAsia"/>
          <w:color w:val="auto"/>
          <w:highlight w:val="none"/>
          <w:lang w:val="en-US" w:eastAsia="zh-CN"/>
        </w:rPr>
        <w:t>按照数据粒度维度，工业数据可以分为明细数据、汇总数据。</w:t>
      </w:r>
    </w:p>
    <w:p>
      <w:pPr>
        <w:numPr>
          <w:ilvl w:val="0"/>
          <w:numId w:val="51"/>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明细数据</w:t>
      </w:r>
      <w:r>
        <w:rPr>
          <w:rFonts w:hint="eastAsia" w:ascii="宋体" w:hAnsi="宋体"/>
          <w:color w:val="auto"/>
          <w:highlight w:val="none"/>
          <w:lang w:val="en-US" w:eastAsia="zh-CN"/>
        </w:rPr>
        <w:t>：</w:t>
      </w:r>
      <w:r>
        <w:rPr>
          <w:rFonts w:hint="eastAsia"/>
          <w:color w:val="auto"/>
          <w:highlight w:val="none"/>
          <w:lang w:val="en-US" w:eastAsia="zh-CN"/>
        </w:rPr>
        <w:t>针对某个具体对象或者事件的数据，例如某个产品的加工流程数据、仓库库存数据等。明细数据通常包含具体的数据值和相关的信息，便于进行数据分析和处理。</w:t>
      </w:r>
    </w:p>
    <w:p>
      <w:pPr>
        <w:numPr>
          <w:ilvl w:val="0"/>
          <w:numId w:val="51"/>
        </w:numPr>
        <w:spacing w:line="360" w:lineRule="auto"/>
        <w:ind w:left="840" w:leftChars="0" w:hanging="420" w:firstLineChars="0"/>
        <w:rPr>
          <w:rFonts w:hint="default"/>
          <w:highlight w:val="none"/>
          <w:lang w:val="en-US" w:eastAsia="zh-CN"/>
        </w:rPr>
      </w:pPr>
      <w:r>
        <w:rPr>
          <w:rFonts w:hint="eastAsia"/>
          <w:color w:val="auto"/>
          <w:highlight w:val="none"/>
          <w:lang w:val="en-US" w:eastAsia="zh-CN"/>
        </w:rPr>
        <w:t>汇总数据</w:t>
      </w:r>
      <w:r>
        <w:rPr>
          <w:rFonts w:hint="eastAsia" w:ascii="宋体" w:hAnsi="宋体"/>
          <w:color w:val="auto"/>
          <w:highlight w:val="none"/>
          <w:lang w:val="en-US" w:eastAsia="zh-CN"/>
        </w:rPr>
        <w:t>：</w:t>
      </w:r>
      <w:r>
        <w:rPr>
          <w:rFonts w:hint="eastAsia"/>
          <w:color w:val="auto"/>
          <w:highlight w:val="none"/>
          <w:lang w:val="en-US" w:eastAsia="zh-CN"/>
        </w:rPr>
        <w:t>针对多个明细数据进行汇总得到的数据，例如公司全年的销售额数据、客户分布数据等。汇总数据可以反映出总体的情况和趋势，但是需要花费较多的时间和精力进行数据清洗和处理。</w:t>
      </w:r>
    </w:p>
    <w:p>
      <w:pPr>
        <w:pStyle w:val="26"/>
        <w:outlineLvl w:val="1"/>
        <w:rPr>
          <w:rFonts w:hint="default"/>
          <w:lang w:val="en-US" w:eastAsia="zh-CN"/>
        </w:rPr>
      </w:pPr>
      <w:bookmarkStart w:id="308" w:name="_Toc10625"/>
      <w:r>
        <w:rPr>
          <w:rFonts w:hint="eastAsia"/>
          <w:color w:val="auto"/>
          <w:highlight w:val="none"/>
          <w:lang w:val="en-US" w:eastAsia="zh-CN"/>
        </w:rPr>
        <w:t>数据活动</w:t>
      </w:r>
      <w:r>
        <w:rPr>
          <w:rFonts w:hint="eastAsia"/>
          <w:lang w:val="en-US" w:eastAsia="zh-CN"/>
        </w:rPr>
        <w:t>网络</w:t>
      </w:r>
      <w:r>
        <w:rPr>
          <w:rFonts w:hint="eastAsia"/>
          <w:color w:val="auto"/>
          <w:highlight w:val="none"/>
          <w:lang w:val="en-US" w:eastAsia="zh-CN"/>
        </w:rPr>
        <w:t>空间维度</w:t>
      </w:r>
      <w:bookmarkEnd w:id="308"/>
    </w:p>
    <w:p>
      <w:pPr>
        <w:pStyle w:val="25"/>
        <w:spacing w:line="360" w:lineRule="auto"/>
        <w:rPr>
          <w:rFonts w:hint="eastAsia" w:ascii="宋体" w:hAnsi="宋体" w:eastAsia="宋体" w:cs="宋体"/>
          <w:lang w:val="en-US" w:eastAsia="zh-CN"/>
        </w:rPr>
      </w:pPr>
      <w:r>
        <w:rPr>
          <w:rFonts w:hint="eastAsia" w:ascii="宋体" w:hAnsi="宋体" w:eastAsia="宋体" w:cs="宋体"/>
          <w:lang w:val="en-US" w:eastAsia="zh-CN"/>
        </w:rPr>
        <w:t>按照数据活动网络空间维度，工业数据可以分为涉密网络数据、非涉密网络数据。</w:t>
      </w:r>
    </w:p>
    <w:p>
      <w:pPr>
        <w:numPr>
          <w:ilvl w:val="0"/>
          <w:numId w:val="52"/>
        </w:numPr>
        <w:spacing w:line="360" w:lineRule="auto"/>
        <w:ind w:left="840" w:hanging="42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涉密网络数据：存储在涉密网络中的数据，例如企业的设计研发系统、生产制造系统中的数据，</w:t>
      </w:r>
      <w:r>
        <w:rPr>
          <w:rFonts w:hint="eastAsia" w:ascii="宋体" w:hAnsi="宋体" w:eastAsia="宋体" w:cs="宋体"/>
          <w:color w:val="auto"/>
          <w:highlight w:val="none"/>
        </w:rPr>
        <w:t>涉密网络按照涉密程度分为绝密级、机密级、秘密级</w:t>
      </w:r>
      <w:r>
        <w:rPr>
          <w:rFonts w:hint="eastAsia" w:ascii="宋体" w:hAnsi="宋体" w:eastAsia="宋体" w:cs="宋体"/>
          <w:color w:val="auto"/>
          <w:highlight w:val="none"/>
          <w:lang w:val="en-US" w:eastAsia="zh-CN"/>
        </w:rPr>
        <w:t>。</w:t>
      </w:r>
    </w:p>
    <w:p>
      <w:pPr>
        <w:numPr>
          <w:ilvl w:val="0"/>
          <w:numId w:val="52"/>
        </w:numPr>
        <w:spacing w:line="360" w:lineRule="auto"/>
        <w:ind w:left="840" w:hanging="42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非涉密网络数据：存储在非涉密网络中的数据，例如</w:t>
      </w:r>
      <w:r>
        <w:rPr>
          <w:rFonts w:hint="eastAsia" w:ascii="宋体" w:hAnsi="宋体" w:eastAsia="宋体" w:cs="宋体"/>
          <w:color w:val="auto"/>
          <w:highlight w:val="none"/>
        </w:rPr>
        <w:t>互联网、固定电话网、移动通信网、广播电视网等公共信息网络</w:t>
      </w:r>
      <w:r>
        <w:rPr>
          <w:rFonts w:hint="eastAsia" w:ascii="宋体" w:hAnsi="宋体" w:eastAsia="宋体" w:cs="宋体"/>
          <w:color w:val="auto"/>
          <w:highlight w:val="none"/>
          <w:lang w:val="en-US" w:eastAsia="zh-CN"/>
        </w:rPr>
        <w:t>中的数据</w:t>
      </w:r>
      <w:r>
        <w:rPr>
          <w:rFonts w:hint="eastAsia" w:ascii="宋体" w:hAnsi="宋体" w:eastAsia="宋体" w:cs="宋体"/>
          <w:color w:val="auto"/>
          <w:highlight w:val="none"/>
        </w:rPr>
        <w:t>。</w:t>
      </w:r>
    </w:p>
    <w:p>
      <w:pPr>
        <w:pStyle w:val="24"/>
        <w:bidi w:val="0"/>
        <w:outlineLvl w:val="0"/>
        <w:rPr>
          <w:rFonts w:hint="default"/>
          <w:color w:val="auto"/>
          <w:highlight w:val="none"/>
          <w:lang w:val="en-US" w:eastAsia="zh-CN"/>
        </w:rPr>
      </w:pPr>
      <w:bookmarkStart w:id="309" w:name="_Toc9753"/>
      <w:bookmarkStart w:id="310" w:name="_Toc13880"/>
      <w:bookmarkStart w:id="311" w:name="_Toc21024"/>
      <w:bookmarkStart w:id="312" w:name="_Toc12901"/>
      <w:bookmarkStart w:id="313" w:name="_Toc9870"/>
      <w:bookmarkStart w:id="314" w:name="_Toc4342"/>
      <w:bookmarkStart w:id="315" w:name="_Toc16989"/>
      <w:r>
        <w:rPr>
          <w:rFonts w:hint="eastAsia"/>
          <w:color w:val="auto"/>
          <w:highlight w:val="none"/>
          <w:lang w:val="en-US" w:eastAsia="zh-CN"/>
        </w:rPr>
        <w:t>数据分级</w:t>
      </w:r>
      <w:bookmarkEnd w:id="309"/>
      <w:bookmarkEnd w:id="310"/>
      <w:bookmarkEnd w:id="311"/>
      <w:bookmarkEnd w:id="312"/>
      <w:bookmarkEnd w:id="313"/>
      <w:bookmarkEnd w:id="314"/>
      <w:bookmarkEnd w:id="315"/>
    </w:p>
    <w:p>
      <w:pPr>
        <w:pStyle w:val="26"/>
        <w:bidi w:val="0"/>
        <w:outlineLvl w:val="1"/>
        <w:rPr>
          <w:rFonts w:hint="default"/>
          <w:color w:val="auto"/>
          <w:highlight w:val="none"/>
          <w:lang w:val="en-US" w:eastAsia="zh-CN"/>
        </w:rPr>
      </w:pPr>
      <w:bookmarkStart w:id="316" w:name="_Toc9842"/>
      <w:bookmarkStart w:id="317" w:name="_Toc23066"/>
      <w:bookmarkStart w:id="318" w:name="_Toc25453"/>
      <w:bookmarkStart w:id="319" w:name="_Toc17752"/>
      <w:bookmarkStart w:id="320" w:name="_Toc28659"/>
      <w:bookmarkStart w:id="321" w:name="_Toc20072"/>
      <w:r>
        <w:rPr>
          <w:rFonts w:hint="eastAsia"/>
          <w:color w:val="auto"/>
          <w:highlight w:val="none"/>
          <w:lang w:val="en-US" w:eastAsia="zh-CN"/>
        </w:rPr>
        <w:t>分级方法</w:t>
      </w:r>
      <w:bookmarkEnd w:id="316"/>
      <w:bookmarkEnd w:id="317"/>
      <w:bookmarkEnd w:id="318"/>
      <w:bookmarkEnd w:id="319"/>
      <w:bookmarkEnd w:id="320"/>
      <w:bookmarkEnd w:id="321"/>
    </w:p>
    <w:p>
      <w:pPr>
        <w:pStyle w:val="25"/>
        <w:numPr>
          <w:ilvl w:val="0"/>
          <w:numId w:val="0"/>
        </w:num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根据不同类别工业数据遭篡改、破坏、泄露或非法利用后，可能对</w:t>
      </w:r>
      <w:r>
        <w:rPr>
          <w:rFonts w:hint="eastAsia" w:hAnsi="宋体" w:cs="宋体"/>
          <w:color w:val="auto"/>
          <w:sz w:val="21"/>
          <w:szCs w:val="21"/>
          <w:highlight w:val="none"/>
          <w:lang w:val="en-US" w:eastAsia="zh-CN"/>
        </w:rPr>
        <w:t>国家安全、国民经济、行业发展、公众利益、社会秩序及企业</w:t>
      </w:r>
      <w:r>
        <w:rPr>
          <w:rFonts w:hint="default" w:ascii="宋体" w:hAnsi="宋体" w:eastAsia="宋体" w:cs="宋体"/>
          <w:color w:val="auto"/>
          <w:sz w:val="21"/>
          <w:szCs w:val="21"/>
          <w:highlight w:val="none"/>
          <w:lang w:val="en-US" w:eastAsia="zh-CN"/>
        </w:rPr>
        <w:t>等带来的潜在影响，将工业数据分为一级（一般数据）、二级（重要数据）、三级（核心数据）3个级别。具体判断标准和防护要求见表</w:t>
      </w:r>
      <w:r>
        <w:rPr>
          <w:rFonts w:hint="eastAsia" w:hAnsi="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所示：</w:t>
      </w:r>
    </w:p>
    <w:p>
      <w:pPr>
        <w:pStyle w:val="67"/>
        <w:tabs>
          <w:tab w:val="left" w:pos="0"/>
          <w:tab w:val="clear" w:pos="420"/>
        </w:tabs>
        <w:bidi w:val="0"/>
        <w:rPr>
          <w:rFonts w:hint="eastAsia"/>
          <w:color w:val="auto"/>
          <w:highlight w:val="none"/>
          <w:lang w:val="en-US" w:eastAsia="zh-CN"/>
        </w:rPr>
      </w:pPr>
      <w:r>
        <w:rPr>
          <w:rFonts w:hint="eastAsia"/>
          <w:color w:val="auto"/>
          <w:highlight w:val="none"/>
          <w:lang w:val="en-US" w:eastAsia="zh-CN"/>
        </w:rPr>
        <w:t>工业数据级别判断标准和防护要求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016"/>
        <w:gridCol w:w="395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18" w:type="dxa"/>
            <w:vAlign w:val="top"/>
          </w:tcPr>
          <w:p>
            <w:pPr>
              <w:pStyle w:val="68"/>
              <w:bidi w:val="0"/>
              <w:jc w:val="center"/>
              <w:rPr>
                <w:rFonts w:hint="eastAsia"/>
                <w:color w:val="auto"/>
                <w:highlight w:val="none"/>
                <w:lang w:val="en-US" w:eastAsia="zh-CN"/>
              </w:rPr>
            </w:pPr>
            <w:r>
              <w:rPr>
                <w:rFonts w:hint="eastAsia"/>
                <w:color w:val="auto"/>
                <w:highlight w:val="none"/>
                <w:lang w:val="en-US" w:eastAsia="zh-CN"/>
              </w:rPr>
              <w:t>工业数据级别</w:t>
            </w:r>
          </w:p>
        </w:tc>
        <w:tc>
          <w:tcPr>
            <w:tcW w:w="1016" w:type="dxa"/>
            <w:vAlign w:val="top"/>
          </w:tcPr>
          <w:p>
            <w:pPr>
              <w:pStyle w:val="68"/>
              <w:bidi w:val="0"/>
              <w:jc w:val="center"/>
              <w:rPr>
                <w:rFonts w:hint="eastAsia"/>
                <w:color w:val="auto"/>
                <w:highlight w:val="none"/>
                <w:lang w:val="en-US" w:eastAsia="zh-CN"/>
              </w:rPr>
            </w:pPr>
            <w:r>
              <w:rPr>
                <w:rFonts w:hint="eastAsia"/>
                <w:color w:val="auto"/>
                <w:highlight w:val="none"/>
                <w:lang w:val="en-US" w:eastAsia="zh-CN"/>
              </w:rPr>
              <w:t>级别标识</w:t>
            </w:r>
          </w:p>
        </w:tc>
        <w:tc>
          <w:tcPr>
            <w:tcW w:w="3957" w:type="dxa"/>
            <w:vAlign w:val="top"/>
          </w:tcPr>
          <w:p>
            <w:pPr>
              <w:pStyle w:val="68"/>
              <w:bidi w:val="0"/>
              <w:jc w:val="center"/>
              <w:rPr>
                <w:rFonts w:hint="eastAsia"/>
                <w:color w:val="auto"/>
                <w:highlight w:val="none"/>
                <w:lang w:val="en-US" w:eastAsia="zh-CN"/>
              </w:rPr>
            </w:pPr>
            <w:r>
              <w:rPr>
                <w:rFonts w:hint="eastAsia"/>
                <w:color w:val="auto"/>
                <w:highlight w:val="none"/>
                <w:lang w:val="en-US" w:eastAsia="zh-CN"/>
              </w:rPr>
              <w:t>判断标准</w:t>
            </w:r>
          </w:p>
        </w:tc>
        <w:tc>
          <w:tcPr>
            <w:tcW w:w="2131" w:type="dxa"/>
            <w:vAlign w:val="top"/>
          </w:tcPr>
          <w:p>
            <w:pPr>
              <w:pStyle w:val="68"/>
              <w:bidi w:val="0"/>
              <w:jc w:val="center"/>
              <w:rPr>
                <w:rFonts w:hint="eastAsia"/>
                <w:color w:val="auto"/>
                <w:highlight w:val="none"/>
                <w:lang w:val="en-US" w:eastAsia="zh-CN"/>
              </w:rPr>
            </w:pPr>
            <w:r>
              <w:rPr>
                <w:rFonts w:hint="eastAsia"/>
                <w:color w:val="auto"/>
                <w:highlight w:val="none"/>
                <w:lang w:val="en-US" w:eastAsia="zh-CN"/>
              </w:rPr>
              <w:t>防护要求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top"/>
          </w:tcPr>
          <w:p>
            <w:pPr>
              <w:pStyle w:val="68"/>
              <w:bidi w:val="0"/>
              <w:jc w:val="center"/>
              <w:rPr>
                <w:rFonts w:hint="eastAsia"/>
                <w:color w:val="auto"/>
                <w:highlight w:val="none"/>
                <w:lang w:val="en-US" w:eastAsia="zh-CN"/>
              </w:rPr>
            </w:pPr>
            <w:r>
              <w:rPr>
                <w:rFonts w:hint="eastAsia"/>
                <w:color w:val="auto"/>
                <w:highlight w:val="none"/>
                <w:lang w:val="en-US" w:eastAsia="zh-CN"/>
              </w:rPr>
              <w:t>三级</w:t>
            </w:r>
          </w:p>
        </w:tc>
        <w:tc>
          <w:tcPr>
            <w:tcW w:w="1016" w:type="dxa"/>
            <w:vAlign w:val="top"/>
          </w:tcPr>
          <w:p>
            <w:pPr>
              <w:pStyle w:val="68"/>
              <w:bidi w:val="0"/>
              <w:jc w:val="center"/>
              <w:rPr>
                <w:rFonts w:hint="eastAsia"/>
                <w:color w:val="auto"/>
                <w:highlight w:val="none"/>
                <w:lang w:val="en-US" w:eastAsia="zh-CN"/>
              </w:rPr>
            </w:pPr>
            <w:r>
              <w:rPr>
                <w:rFonts w:hint="eastAsia"/>
                <w:color w:val="auto"/>
                <w:highlight w:val="none"/>
                <w:lang w:val="en-US" w:eastAsia="zh-CN"/>
              </w:rPr>
              <w:t>核心数据</w:t>
            </w:r>
          </w:p>
        </w:tc>
        <w:tc>
          <w:tcPr>
            <w:tcW w:w="3957" w:type="dxa"/>
            <w:vAlign w:val="top"/>
          </w:tcPr>
          <w:p>
            <w:pPr>
              <w:pStyle w:val="68"/>
              <w:bidi w:val="0"/>
              <w:rPr>
                <w:rFonts w:hint="eastAsia"/>
                <w:color w:val="auto"/>
                <w:sz w:val="18"/>
                <w:szCs w:val="18"/>
                <w:highlight w:val="none"/>
                <w:lang w:val="en-US" w:eastAsia="zh-CN"/>
              </w:rPr>
            </w:pPr>
            <w:r>
              <w:rPr>
                <w:rFonts w:hint="eastAsia"/>
                <w:color w:val="auto"/>
                <w:sz w:val="18"/>
                <w:szCs w:val="18"/>
                <w:highlight w:val="none"/>
                <w:lang w:val="en-US" w:eastAsia="zh-CN"/>
              </w:rPr>
              <w:t>有下列情形之一：</w:t>
            </w:r>
          </w:p>
          <w:p>
            <w:pPr>
              <w:pStyle w:val="25"/>
              <w:keepNext w:val="0"/>
              <w:keepLines w:val="0"/>
              <w:pageBreakBefore w:val="0"/>
              <w:widowControl w:val="0"/>
              <w:numPr>
                <w:ilvl w:val="0"/>
                <w:numId w:val="53"/>
              </w:numPr>
              <w:tabs>
                <w:tab w:val="clear" w:pos="0"/>
              </w:tabs>
              <w:kinsoku/>
              <w:wordWrap/>
              <w:overflowPunct/>
              <w:topLinePunct w:val="0"/>
              <w:autoSpaceDE w:val="0"/>
              <w:autoSpaceDN w:val="0"/>
              <w:bidi w:val="0"/>
              <w:adjustRightInd/>
              <w:snapToGrid/>
              <w:spacing w:line="360" w:lineRule="auto"/>
              <w:ind w:left="363" w:leftChars="0" w:hanging="363"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易引发特别重大生产安全事故或突发环境</w:t>
            </w:r>
            <w:r>
              <w:rPr>
                <w:rFonts w:hint="eastAsia" w:hAnsi="宋体" w:cs="宋体"/>
                <w:color w:val="auto"/>
                <w:sz w:val="18"/>
                <w:szCs w:val="18"/>
                <w:highlight w:val="none"/>
                <w:lang w:val="en-US" w:eastAsia="zh-CN"/>
              </w:rPr>
              <w:t>事件</w:t>
            </w:r>
            <w:r>
              <w:rPr>
                <w:rFonts w:hint="eastAsia" w:ascii="宋体" w:hAnsi="宋体" w:eastAsia="宋体" w:cs="宋体"/>
                <w:color w:val="auto"/>
                <w:sz w:val="18"/>
                <w:szCs w:val="18"/>
                <w:highlight w:val="none"/>
                <w:lang w:val="en-US" w:eastAsia="zh-CN"/>
              </w:rPr>
              <w:t>，或造成直接经济损失特别巨大</w:t>
            </w:r>
            <w:r>
              <w:rPr>
                <w:rFonts w:hint="eastAsia" w:hAnsi="宋体" w:cs="宋体"/>
                <w:color w:val="auto"/>
                <w:sz w:val="18"/>
                <w:szCs w:val="18"/>
                <w:highlight w:val="none"/>
                <w:lang w:val="en-US" w:eastAsia="zh-CN"/>
              </w:rPr>
              <w:t>。</w:t>
            </w:r>
          </w:p>
          <w:p>
            <w:pPr>
              <w:pStyle w:val="25"/>
              <w:keepNext w:val="0"/>
              <w:keepLines w:val="0"/>
              <w:pageBreakBefore w:val="0"/>
              <w:widowControl w:val="0"/>
              <w:numPr>
                <w:ilvl w:val="0"/>
                <w:numId w:val="53"/>
              </w:numPr>
              <w:tabs>
                <w:tab w:val="clear" w:pos="0"/>
              </w:tabs>
              <w:kinsoku/>
              <w:wordWrap/>
              <w:overflowPunct/>
              <w:topLinePunct w:val="0"/>
              <w:autoSpaceDE w:val="0"/>
              <w:autoSpaceDN w:val="0"/>
              <w:bidi w:val="0"/>
              <w:adjustRightInd/>
              <w:snapToGrid/>
              <w:spacing w:line="360" w:lineRule="auto"/>
              <w:ind w:left="363" w:leftChars="0" w:hanging="363" w:firstLineChars="0"/>
              <w:textAlignment w:val="auto"/>
              <w:rPr>
                <w:rFonts w:hint="eastAsia"/>
                <w:color w:val="auto"/>
                <w:sz w:val="18"/>
                <w:szCs w:val="18"/>
                <w:highlight w:val="none"/>
                <w:lang w:val="en-US" w:eastAsia="zh-CN"/>
              </w:rPr>
            </w:pPr>
            <w:r>
              <w:rPr>
                <w:rFonts w:hint="eastAsia" w:ascii="宋体" w:hAnsi="宋体" w:eastAsia="宋体" w:cs="宋体"/>
                <w:color w:val="auto"/>
                <w:sz w:val="18"/>
                <w:szCs w:val="18"/>
                <w:highlight w:val="none"/>
                <w:lang w:val="en-US" w:eastAsia="zh-CN"/>
              </w:rPr>
              <w:t>对国民经济、行业发展、公众利益、社会秩序乃至国家安全造成严重损害。</w:t>
            </w:r>
          </w:p>
        </w:tc>
        <w:tc>
          <w:tcPr>
            <w:tcW w:w="2131" w:type="dxa"/>
            <w:vAlign w:val="top"/>
          </w:tcPr>
          <w:p>
            <w:pPr>
              <w:pStyle w:val="68"/>
              <w:bidi w:val="0"/>
              <w:rPr>
                <w:rFonts w:hint="eastAsia"/>
                <w:color w:val="auto"/>
                <w:highlight w:val="none"/>
                <w:lang w:val="en-US" w:eastAsia="zh-CN"/>
              </w:rPr>
            </w:pPr>
            <w:r>
              <w:rPr>
                <w:rFonts w:hint="eastAsia"/>
                <w:color w:val="auto"/>
                <w:highlight w:val="none"/>
                <w:lang w:val="en-US" w:eastAsia="zh-CN"/>
              </w:rPr>
              <w:t>应能抵御来自国家级敌对组织的大规模恶意攻击。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jc w:val="center"/>
        </w:trPr>
        <w:tc>
          <w:tcPr>
            <w:tcW w:w="1418" w:type="dxa"/>
          </w:tcPr>
          <w:p>
            <w:pPr>
              <w:pStyle w:val="68"/>
              <w:bidi w:val="0"/>
              <w:jc w:val="center"/>
              <w:rPr>
                <w:rFonts w:hint="eastAsia"/>
                <w:color w:val="auto"/>
                <w:highlight w:val="none"/>
                <w:lang w:val="en-US" w:eastAsia="zh-CN"/>
              </w:rPr>
            </w:pPr>
            <w:r>
              <w:rPr>
                <w:rFonts w:hint="eastAsia"/>
                <w:color w:val="auto"/>
                <w:highlight w:val="none"/>
                <w:lang w:val="en-US" w:eastAsia="zh-CN"/>
              </w:rPr>
              <w:t>二级</w:t>
            </w:r>
          </w:p>
        </w:tc>
        <w:tc>
          <w:tcPr>
            <w:tcW w:w="1016" w:type="dxa"/>
          </w:tcPr>
          <w:p>
            <w:pPr>
              <w:pStyle w:val="68"/>
              <w:bidi w:val="0"/>
              <w:jc w:val="center"/>
              <w:rPr>
                <w:rFonts w:hint="eastAsia"/>
                <w:color w:val="auto"/>
                <w:highlight w:val="none"/>
                <w:lang w:val="en-US" w:eastAsia="zh-CN"/>
              </w:rPr>
            </w:pPr>
            <w:r>
              <w:rPr>
                <w:rFonts w:hint="eastAsia"/>
                <w:color w:val="auto"/>
                <w:highlight w:val="none"/>
                <w:lang w:val="en-US" w:eastAsia="zh-CN"/>
              </w:rPr>
              <w:t>重要数据</w:t>
            </w:r>
          </w:p>
        </w:tc>
        <w:tc>
          <w:tcPr>
            <w:tcW w:w="3957" w:type="dxa"/>
          </w:tcPr>
          <w:p>
            <w:pPr>
              <w:pStyle w:val="68"/>
              <w:bidi w:val="0"/>
              <w:rPr>
                <w:rFonts w:hint="eastAsia"/>
                <w:color w:val="auto"/>
                <w:sz w:val="18"/>
                <w:szCs w:val="18"/>
                <w:highlight w:val="none"/>
                <w:lang w:val="en-US" w:eastAsia="zh-CN"/>
              </w:rPr>
            </w:pPr>
            <w:r>
              <w:rPr>
                <w:rFonts w:hint="eastAsia"/>
                <w:color w:val="auto"/>
                <w:sz w:val="18"/>
                <w:szCs w:val="18"/>
                <w:highlight w:val="none"/>
                <w:lang w:val="en-US" w:eastAsia="zh-CN"/>
              </w:rPr>
              <w:t>有下列情形之一：</w:t>
            </w:r>
          </w:p>
          <w:p>
            <w:pPr>
              <w:pStyle w:val="25"/>
              <w:keepNext w:val="0"/>
              <w:keepLines w:val="0"/>
              <w:pageBreakBefore w:val="0"/>
              <w:widowControl w:val="0"/>
              <w:numPr>
                <w:ilvl w:val="0"/>
                <w:numId w:val="54"/>
              </w:numPr>
              <w:tabs>
                <w:tab w:val="clear" w:pos="0"/>
              </w:tabs>
              <w:kinsoku/>
              <w:wordWrap/>
              <w:overflowPunct/>
              <w:topLinePunct w:val="0"/>
              <w:autoSpaceDE w:val="0"/>
              <w:autoSpaceDN w:val="0"/>
              <w:bidi w:val="0"/>
              <w:adjustRightInd/>
              <w:snapToGrid/>
              <w:spacing w:line="360" w:lineRule="auto"/>
              <w:ind w:left="363" w:leftChars="0" w:hanging="363"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易引发较大或重大生产安全事故或突发环境事件，给企业造成较大负面影响，或直接经济损失较大。</w:t>
            </w:r>
          </w:p>
          <w:p>
            <w:pPr>
              <w:pStyle w:val="25"/>
              <w:keepNext w:val="0"/>
              <w:keepLines w:val="0"/>
              <w:pageBreakBefore w:val="0"/>
              <w:widowControl w:val="0"/>
              <w:numPr>
                <w:ilvl w:val="0"/>
                <w:numId w:val="54"/>
              </w:numPr>
              <w:tabs>
                <w:tab w:val="clear" w:pos="0"/>
              </w:tabs>
              <w:kinsoku/>
              <w:wordWrap/>
              <w:overflowPunct/>
              <w:topLinePunct w:val="0"/>
              <w:autoSpaceDE w:val="0"/>
              <w:autoSpaceDN w:val="0"/>
              <w:bidi w:val="0"/>
              <w:adjustRightInd/>
              <w:snapToGrid/>
              <w:spacing w:line="360" w:lineRule="auto"/>
              <w:ind w:left="363" w:leftChars="0" w:hanging="363"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引发的级联效应明显，影响范围涉及多个行业、区域或者行业内多个企业，或影响持续时间长，或可导致大量供应商、客户资源被非法获取或大量个人信息泄露。</w:t>
            </w:r>
          </w:p>
          <w:p>
            <w:pPr>
              <w:pStyle w:val="25"/>
              <w:keepNext w:val="0"/>
              <w:keepLines w:val="0"/>
              <w:pageBreakBefore w:val="0"/>
              <w:widowControl w:val="0"/>
              <w:numPr>
                <w:ilvl w:val="0"/>
                <w:numId w:val="54"/>
              </w:numPr>
              <w:tabs>
                <w:tab w:val="clear" w:pos="0"/>
              </w:tabs>
              <w:kinsoku/>
              <w:wordWrap/>
              <w:overflowPunct/>
              <w:topLinePunct w:val="0"/>
              <w:autoSpaceDE w:val="0"/>
              <w:autoSpaceDN w:val="0"/>
              <w:bidi w:val="0"/>
              <w:adjustRightInd/>
              <w:snapToGrid/>
              <w:spacing w:line="360" w:lineRule="auto"/>
              <w:ind w:left="363" w:leftChars="0" w:hanging="363"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恢复工业数据或消除负面影响所需付出的代价较大。</w:t>
            </w:r>
          </w:p>
        </w:tc>
        <w:tc>
          <w:tcPr>
            <w:tcW w:w="2131" w:type="dxa"/>
          </w:tcPr>
          <w:p>
            <w:pPr>
              <w:pStyle w:val="68"/>
              <w:bidi w:val="0"/>
              <w:rPr>
                <w:rFonts w:hint="eastAsia"/>
                <w:color w:val="auto"/>
                <w:highlight w:val="none"/>
                <w:lang w:val="en-US" w:eastAsia="zh-CN"/>
              </w:rPr>
            </w:pPr>
            <w:r>
              <w:rPr>
                <w:rFonts w:hint="eastAsia"/>
                <w:color w:val="auto"/>
                <w:highlight w:val="none"/>
                <w:lang w:val="en-US" w:eastAsia="zh-CN"/>
              </w:rPr>
              <w:t>应能抵御大规模较强恶意攻击。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jc w:val="center"/>
        </w:trPr>
        <w:tc>
          <w:tcPr>
            <w:tcW w:w="1418" w:type="dxa"/>
            <w:vAlign w:val="top"/>
          </w:tcPr>
          <w:p>
            <w:pPr>
              <w:pStyle w:val="68"/>
              <w:bidi w:val="0"/>
              <w:jc w:val="center"/>
              <w:rPr>
                <w:rFonts w:hint="eastAsia"/>
                <w:color w:val="auto"/>
                <w:highlight w:val="none"/>
                <w:lang w:val="en-US" w:eastAsia="zh-CN"/>
              </w:rPr>
            </w:pPr>
            <w:r>
              <w:rPr>
                <w:rFonts w:hint="eastAsia"/>
                <w:color w:val="auto"/>
                <w:highlight w:val="none"/>
                <w:lang w:val="en-US" w:eastAsia="zh-CN"/>
              </w:rPr>
              <w:t>一级</w:t>
            </w:r>
          </w:p>
        </w:tc>
        <w:tc>
          <w:tcPr>
            <w:tcW w:w="1016" w:type="dxa"/>
            <w:vAlign w:val="top"/>
          </w:tcPr>
          <w:p>
            <w:pPr>
              <w:pStyle w:val="68"/>
              <w:bidi w:val="0"/>
              <w:jc w:val="center"/>
              <w:rPr>
                <w:rFonts w:hint="eastAsia"/>
                <w:color w:val="auto"/>
                <w:highlight w:val="none"/>
                <w:lang w:val="en-US" w:eastAsia="zh-CN"/>
              </w:rPr>
            </w:pPr>
            <w:r>
              <w:rPr>
                <w:rFonts w:hint="eastAsia"/>
                <w:color w:val="auto"/>
                <w:highlight w:val="none"/>
                <w:lang w:val="en-US" w:eastAsia="zh-CN"/>
              </w:rPr>
              <w:t>一般数据</w:t>
            </w:r>
          </w:p>
        </w:tc>
        <w:tc>
          <w:tcPr>
            <w:tcW w:w="3957" w:type="dxa"/>
            <w:vAlign w:val="top"/>
          </w:tcPr>
          <w:p>
            <w:pPr>
              <w:pStyle w:val="68"/>
              <w:bidi w:val="0"/>
              <w:rPr>
                <w:rFonts w:hint="eastAsia"/>
                <w:color w:val="auto"/>
                <w:sz w:val="18"/>
                <w:szCs w:val="18"/>
                <w:highlight w:val="none"/>
                <w:lang w:val="en-US" w:eastAsia="zh-CN"/>
              </w:rPr>
            </w:pPr>
            <w:r>
              <w:rPr>
                <w:rFonts w:hint="eastAsia"/>
                <w:color w:val="auto"/>
                <w:sz w:val="18"/>
                <w:szCs w:val="18"/>
                <w:highlight w:val="none"/>
                <w:lang w:val="en-US" w:eastAsia="zh-CN"/>
              </w:rPr>
              <w:t>有下列情形之一：</w:t>
            </w:r>
          </w:p>
          <w:p>
            <w:pPr>
              <w:pStyle w:val="25"/>
              <w:keepNext w:val="0"/>
              <w:keepLines w:val="0"/>
              <w:pageBreakBefore w:val="0"/>
              <w:widowControl w:val="0"/>
              <w:numPr>
                <w:ilvl w:val="0"/>
                <w:numId w:val="55"/>
              </w:numPr>
              <w:tabs>
                <w:tab w:val="clear" w:pos="0"/>
              </w:tabs>
              <w:kinsoku/>
              <w:wordWrap/>
              <w:overflowPunct/>
              <w:topLinePunct w:val="0"/>
              <w:autoSpaceDE w:val="0"/>
              <w:autoSpaceDN w:val="0"/>
              <w:bidi w:val="0"/>
              <w:adjustRightInd/>
              <w:snapToGrid/>
              <w:spacing w:line="360" w:lineRule="auto"/>
              <w:ind w:left="363" w:leftChars="0" w:hanging="363"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对工业控制系统及设备、工业互联网平台等的正常</w:t>
            </w:r>
            <w:r>
              <w:rPr>
                <w:rFonts w:hint="eastAsia" w:hAnsi="宋体" w:cs="宋体"/>
                <w:color w:val="auto"/>
                <w:sz w:val="18"/>
                <w:szCs w:val="18"/>
                <w:highlight w:val="none"/>
                <w:lang w:val="en-US" w:eastAsia="zh-CN"/>
              </w:rPr>
              <w:t>运行影响较小</w:t>
            </w:r>
            <w:r>
              <w:rPr>
                <w:rFonts w:hint="eastAsia" w:ascii="宋体" w:hAnsi="宋体" w:eastAsia="宋体" w:cs="宋体"/>
                <w:color w:val="auto"/>
                <w:sz w:val="18"/>
                <w:szCs w:val="18"/>
                <w:highlight w:val="none"/>
                <w:lang w:val="en-US" w:eastAsia="zh-CN"/>
              </w:rPr>
              <w:t>。</w:t>
            </w:r>
          </w:p>
          <w:p>
            <w:pPr>
              <w:pStyle w:val="25"/>
              <w:keepNext w:val="0"/>
              <w:keepLines w:val="0"/>
              <w:pageBreakBefore w:val="0"/>
              <w:widowControl w:val="0"/>
              <w:numPr>
                <w:ilvl w:val="0"/>
                <w:numId w:val="55"/>
              </w:numPr>
              <w:tabs>
                <w:tab w:val="clear" w:pos="0"/>
              </w:tabs>
              <w:kinsoku/>
              <w:wordWrap/>
              <w:overflowPunct/>
              <w:topLinePunct w:val="0"/>
              <w:autoSpaceDE w:val="0"/>
              <w:autoSpaceDN w:val="0"/>
              <w:bidi w:val="0"/>
              <w:adjustRightInd/>
              <w:snapToGrid/>
              <w:spacing w:line="360" w:lineRule="auto"/>
              <w:ind w:left="363" w:leftChars="0" w:hanging="363"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给企业造成负面影响较小，或直接经济损失较小。</w:t>
            </w:r>
          </w:p>
          <w:p>
            <w:pPr>
              <w:pStyle w:val="25"/>
              <w:keepNext w:val="0"/>
              <w:keepLines w:val="0"/>
              <w:pageBreakBefore w:val="0"/>
              <w:widowControl w:val="0"/>
              <w:numPr>
                <w:ilvl w:val="0"/>
                <w:numId w:val="55"/>
              </w:numPr>
              <w:tabs>
                <w:tab w:val="clear" w:pos="0"/>
              </w:tabs>
              <w:kinsoku/>
              <w:wordWrap/>
              <w:overflowPunct/>
              <w:topLinePunct w:val="0"/>
              <w:autoSpaceDE w:val="0"/>
              <w:autoSpaceDN w:val="0"/>
              <w:bidi w:val="0"/>
              <w:adjustRightInd/>
              <w:snapToGrid/>
              <w:spacing w:line="360" w:lineRule="auto"/>
              <w:ind w:left="363" w:leftChars="0" w:hanging="363"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受影响的用户和企业数量较少、生产生活区域范围较小持续时间较短。</w:t>
            </w:r>
          </w:p>
          <w:p>
            <w:pPr>
              <w:pStyle w:val="25"/>
              <w:keepNext w:val="0"/>
              <w:keepLines w:val="0"/>
              <w:pageBreakBefore w:val="0"/>
              <w:widowControl w:val="0"/>
              <w:numPr>
                <w:ilvl w:val="0"/>
                <w:numId w:val="55"/>
              </w:numPr>
              <w:tabs>
                <w:tab w:val="clear" w:pos="0"/>
              </w:tabs>
              <w:kinsoku/>
              <w:wordWrap/>
              <w:overflowPunct/>
              <w:topLinePunct w:val="0"/>
              <w:autoSpaceDE w:val="0"/>
              <w:autoSpaceDN w:val="0"/>
              <w:bidi w:val="0"/>
              <w:adjustRightInd/>
              <w:snapToGrid/>
              <w:spacing w:line="360" w:lineRule="auto"/>
              <w:ind w:left="363" w:leftChars="0" w:hanging="363"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恢复工业数据或消除负面影响所需付出的代价较小。</w:t>
            </w:r>
          </w:p>
        </w:tc>
        <w:tc>
          <w:tcPr>
            <w:tcW w:w="2131" w:type="dxa"/>
            <w:vAlign w:val="top"/>
          </w:tcPr>
          <w:p>
            <w:pPr>
              <w:pStyle w:val="68"/>
              <w:bidi w:val="0"/>
              <w:rPr>
                <w:rFonts w:hint="eastAsia"/>
                <w:color w:val="auto"/>
                <w:highlight w:val="none"/>
                <w:lang w:val="en-US" w:eastAsia="zh-CN"/>
              </w:rPr>
            </w:pPr>
            <w:r>
              <w:rPr>
                <w:rFonts w:hint="eastAsia"/>
                <w:color w:val="auto"/>
                <w:highlight w:val="none"/>
                <w:lang w:val="en-US" w:eastAsia="zh-CN"/>
              </w:rPr>
              <w:t>应能抵御一般恶意攻击。</w:t>
            </w:r>
          </w:p>
        </w:tc>
      </w:tr>
    </w:tbl>
    <w:p>
      <w:pPr>
        <w:pStyle w:val="26"/>
        <w:bidi w:val="0"/>
        <w:outlineLvl w:val="1"/>
        <w:rPr>
          <w:rFonts w:hint="default"/>
          <w:color w:val="auto"/>
          <w:highlight w:val="none"/>
          <w:lang w:val="en-US" w:eastAsia="zh-CN"/>
        </w:rPr>
      </w:pPr>
      <w:bookmarkStart w:id="322" w:name="_Toc10297"/>
      <w:bookmarkStart w:id="323" w:name="_Toc13401"/>
      <w:bookmarkStart w:id="324" w:name="_Toc18938"/>
      <w:bookmarkStart w:id="325" w:name="_Toc20211"/>
      <w:bookmarkStart w:id="326" w:name="_Toc5749"/>
      <w:bookmarkStart w:id="327" w:name="_Toc2985"/>
      <w:bookmarkStart w:id="328" w:name="_Toc23262"/>
      <w:r>
        <w:rPr>
          <w:rFonts w:hint="eastAsia"/>
          <w:color w:val="auto"/>
          <w:highlight w:val="none"/>
          <w:lang w:val="en-US" w:eastAsia="zh-CN"/>
        </w:rPr>
        <w:t>数据级别变更</w:t>
      </w:r>
      <w:bookmarkEnd w:id="322"/>
      <w:bookmarkEnd w:id="323"/>
      <w:bookmarkEnd w:id="324"/>
      <w:bookmarkEnd w:id="325"/>
      <w:bookmarkEnd w:id="326"/>
      <w:bookmarkEnd w:id="327"/>
      <w:bookmarkEnd w:id="328"/>
    </w:p>
    <w:p>
      <w:pPr>
        <w:pStyle w:val="25"/>
        <w:numPr>
          <w:ilvl w:val="0"/>
          <w:numId w:val="0"/>
        </w:num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数据定级完成后，出现下列情形之一时，应重新定级</w:t>
      </w:r>
      <w:r>
        <w:rPr>
          <w:rFonts w:hint="eastAsia" w:ascii="宋体" w:hAnsi="宋体" w:cs="宋体"/>
          <w:color w:val="auto"/>
          <w:sz w:val="21"/>
          <w:szCs w:val="21"/>
          <w:highlight w:val="none"/>
          <w:lang w:val="en-US" w:eastAsia="zh-CN"/>
        </w:rPr>
        <w:t>：</w:t>
      </w:r>
    </w:p>
    <w:p>
      <w:pPr>
        <w:pStyle w:val="25"/>
        <w:numPr>
          <w:ilvl w:val="0"/>
          <w:numId w:val="56"/>
        </w:numPr>
        <w:tabs>
          <w:tab w:val="clear" w:pos="0"/>
        </w:tabs>
        <w:spacing w:line="360" w:lineRule="auto"/>
        <w:ind w:left="840" w:leftChars="0" w:hanging="420" w:firstLineChars="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数据内容发生变化，导致原有数据的安全级别不再适用</w:t>
      </w:r>
      <w:r>
        <w:rPr>
          <w:rFonts w:hint="eastAsia" w:hAnsi="宋体" w:cs="宋体"/>
          <w:color w:val="auto"/>
          <w:sz w:val="21"/>
          <w:szCs w:val="21"/>
          <w:highlight w:val="none"/>
          <w:lang w:val="en-US" w:eastAsia="zh-CN"/>
        </w:rPr>
        <w:t>。</w:t>
      </w:r>
    </w:p>
    <w:p>
      <w:pPr>
        <w:pStyle w:val="25"/>
        <w:numPr>
          <w:ilvl w:val="0"/>
          <w:numId w:val="56"/>
        </w:numPr>
        <w:tabs>
          <w:tab w:val="clear" w:pos="0"/>
        </w:tabs>
        <w:spacing w:line="360" w:lineRule="auto"/>
        <w:ind w:left="840" w:leftChars="0" w:hanging="420" w:firstLineChars="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数据内容未发生变化，但数据</w:t>
      </w:r>
      <w:r>
        <w:rPr>
          <w:rFonts w:hint="eastAsia" w:hAnsi="宋体" w:cs="宋体"/>
          <w:color w:val="auto"/>
          <w:sz w:val="21"/>
          <w:szCs w:val="21"/>
          <w:highlight w:val="none"/>
          <w:lang w:val="en-US" w:eastAsia="zh-CN"/>
        </w:rPr>
        <w:t>时效性</w:t>
      </w:r>
      <w:r>
        <w:rPr>
          <w:rFonts w:hint="default" w:ascii="宋体" w:hAnsi="宋体" w:eastAsia="宋体" w:cs="宋体"/>
          <w:color w:val="auto"/>
          <w:sz w:val="21"/>
          <w:szCs w:val="21"/>
          <w:highlight w:val="none"/>
          <w:lang w:val="en-US" w:eastAsia="zh-CN"/>
        </w:rPr>
        <w:t>、数据规模、数据应用场景、</w:t>
      </w:r>
      <w:r>
        <w:rPr>
          <w:rFonts w:hint="eastAsia" w:hAnsi="宋体" w:cs="宋体"/>
          <w:color w:val="auto"/>
          <w:sz w:val="21"/>
          <w:szCs w:val="21"/>
          <w:highlight w:val="none"/>
          <w:lang w:val="en-US" w:eastAsia="zh-CN"/>
        </w:rPr>
        <w:t>工业数据加工</w:t>
      </w:r>
      <w:r>
        <w:rPr>
          <w:rFonts w:hint="default" w:ascii="宋体" w:hAnsi="宋体" w:eastAsia="宋体" w:cs="宋体"/>
          <w:color w:val="auto"/>
          <w:sz w:val="21"/>
          <w:szCs w:val="21"/>
          <w:highlight w:val="none"/>
          <w:lang w:val="en-US" w:eastAsia="zh-CN"/>
        </w:rPr>
        <w:t>处理方式等发生变化</w:t>
      </w:r>
      <w:r>
        <w:rPr>
          <w:rFonts w:hint="eastAsia" w:hAnsi="宋体" w:cs="宋体"/>
          <w:color w:val="auto"/>
          <w:sz w:val="21"/>
          <w:szCs w:val="21"/>
          <w:highlight w:val="none"/>
          <w:lang w:val="en-US" w:eastAsia="zh-CN"/>
        </w:rPr>
        <w:t>。</w:t>
      </w:r>
    </w:p>
    <w:p>
      <w:pPr>
        <w:pStyle w:val="25"/>
        <w:numPr>
          <w:ilvl w:val="0"/>
          <w:numId w:val="56"/>
        </w:numPr>
        <w:tabs>
          <w:tab w:val="clear" w:pos="0"/>
        </w:tabs>
        <w:spacing w:line="360" w:lineRule="auto"/>
        <w:ind w:left="840" w:leftChars="0" w:hanging="420" w:firstLineChars="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多个原始数据直接合并，导致原有的安全级别不再适用</w:t>
      </w:r>
      <w:r>
        <w:rPr>
          <w:rFonts w:hint="eastAsia" w:hAnsi="宋体" w:cs="宋体"/>
          <w:color w:val="auto"/>
          <w:sz w:val="21"/>
          <w:szCs w:val="21"/>
          <w:highlight w:val="none"/>
          <w:lang w:val="en-US" w:eastAsia="zh-CN"/>
        </w:rPr>
        <w:t>于</w:t>
      </w:r>
      <w:r>
        <w:rPr>
          <w:rFonts w:hint="default" w:ascii="宋体" w:hAnsi="宋体" w:eastAsia="宋体" w:cs="宋体"/>
          <w:color w:val="auto"/>
          <w:sz w:val="21"/>
          <w:szCs w:val="21"/>
          <w:highlight w:val="none"/>
          <w:lang w:val="en-US" w:eastAsia="zh-CN"/>
        </w:rPr>
        <w:t>合并后的数据</w:t>
      </w:r>
      <w:r>
        <w:rPr>
          <w:rFonts w:hint="eastAsia" w:hAnsi="宋体" w:cs="宋体"/>
          <w:color w:val="auto"/>
          <w:sz w:val="21"/>
          <w:szCs w:val="21"/>
          <w:highlight w:val="none"/>
          <w:lang w:val="en-US" w:eastAsia="zh-CN"/>
        </w:rPr>
        <w:t>。</w:t>
      </w:r>
    </w:p>
    <w:p>
      <w:pPr>
        <w:pStyle w:val="25"/>
        <w:numPr>
          <w:ilvl w:val="0"/>
          <w:numId w:val="56"/>
        </w:numPr>
        <w:tabs>
          <w:tab w:val="clear" w:pos="0"/>
        </w:tabs>
        <w:spacing w:line="360" w:lineRule="auto"/>
        <w:ind w:left="840" w:leftChars="0" w:hanging="420" w:firstLineChars="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因对不同数据选取部分数据进行合并形成的新数据，导致原有数据的安全级别不再适用</w:t>
      </w:r>
      <w:r>
        <w:rPr>
          <w:rFonts w:hint="eastAsia" w:hAnsi="宋体" w:cs="宋体"/>
          <w:color w:val="auto"/>
          <w:sz w:val="21"/>
          <w:szCs w:val="21"/>
          <w:highlight w:val="none"/>
          <w:lang w:val="en-US" w:eastAsia="zh-CN"/>
        </w:rPr>
        <w:t>于</w:t>
      </w:r>
      <w:r>
        <w:rPr>
          <w:rFonts w:hint="default" w:ascii="宋体" w:hAnsi="宋体" w:eastAsia="宋体" w:cs="宋体"/>
          <w:color w:val="auto"/>
          <w:sz w:val="21"/>
          <w:szCs w:val="21"/>
          <w:highlight w:val="none"/>
          <w:lang w:val="en-US" w:eastAsia="zh-CN"/>
        </w:rPr>
        <w:t>合并后的数据</w:t>
      </w:r>
      <w:r>
        <w:rPr>
          <w:rFonts w:hint="eastAsia" w:hAnsi="宋体" w:cs="宋体"/>
          <w:color w:val="auto"/>
          <w:sz w:val="21"/>
          <w:szCs w:val="21"/>
          <w:highlight w:val="none"/>
          <w:lang w:val="en-US" w:eastAsia="zh-CN"/>
        </w:rPr>
        <w:t>。</w:t>
      </w:r>
    </w:p>
    <w:p>
      <w:pPr>
        <w:pStyle w:val="25"/>
        <w:numPr>
          <w:ilvl w:val="0"/>
          <w:numId w:val="56"/>
        </w:numPr>
        <w:tabs>
          <w:tab w:val="clear" w:pos="0"/>
        </w:tabs>
        <w:spacing w:line="360" w:lineRule="auto"/>
        <w:ind w:left="840" w:leftChars="0" w:hanging="420" w:firstLineChars="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不同数据类型经汇聚融合形成新的数据类别，导致原有的数据级别不再适用于汇聚融合后的数据</w:t>
      </w:r>
      <w:r>
        <w:rPr>
          <w:rFonts w:hint="eastAsia" w:hAnsi="宋体" w:cs="宋体"/>
          <w:color w:val="auto"/>
          <w:sz w:val="21"/>
          <w:szCs w:val="21"/>
          <w:highlight w:val="none"/>
          <w:lang w:val="en-US" w:eastAsia="zh-CN"/>
        </w:rPr>
        <w:t>。</w:t>
      </w:r>
    </w:p>
    <w:p>
      <w:pPr>
        <w:pStyle w:val="25"/>
        <w:numPr>
          <w:ilvl w:val="0"/>
          <w:numId w:val="56"/>
        </w:numPr>
        <w:tabs>
          <w:tab w:val="clear" w:pos="0"/>
        </w:tabs>
        <w:spacing w:line="360" w:lineRule="auto"/>
        <w:ind w:left="840" w:leftChars="0" w:hanging="420" w:firstLineChars="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因国家或行业主管部门要求，导致原定的数据级别不再适用</w:t>
      </w:r>
      <w:r>
        <w:rPr>
          <w:rFonts w:hint="eastAsia" w:hAnsi="宋体" w:cs="宋体"/>
          <w:color w:val="auto"/>
          <w:sz w:val="21"/>
          <w:szCs w:val="21"/>
          <w:highlight w:val="none"/>
          <w:lang w:val="en-US" w:eastAsia="zh-CN"/>
        </w:rPr>
        <w:t>。</w:t>
      </w:r>
    </w:p>
    <w:p>
      <w:pPr>
        <w:pStyle w:val="25"/>
        <w:numPr>
          <w:ilvl w:val="0"/>
          <w:numId w:val="56"/>
        </w:numPr>
        <w:tabs>
          <w:tab w:val="clear" w:pos="0"/>
        </w:tabs>
        <w:spacing w:line="360" w:lineRule="auto"/>
        <w:ind w:left="840" w:leftChars="0" w:hanging="420" w:firstLineChars="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需要对数据安全级别进行变更的其他情形。</w:t>
      </w:r>
    </w:p>
    <w:p>
      <w:pPr>
        <w:pStyle w:val="24"/>
        <w:bidi w:val="0"/>
        <w:outlineLvl w:val="0"/>
        <w:rPr>
          <w:rFonts w:hint="default"/>
          <w:color w:val="auto"/>
          <w:highlight w:val="none"/>
          <w:lang w:val="en-US" w:eastAsia="zh-CN"/>
        </w:rPr>
      </w:pPr>
      <w:bookmarkStart w:id="329" w:name="_Toc22456"/>
      <w:bookmarkStart w:id="330" w:name="_Toc11110"/>
      <w:bookmarkStart w:id="331" w:name="_Toc31983"/>
      <w:bookmarkStart w:id="332" w:name="_Toc22988"/>
      <w:bookmarkStart w:id="333" w:name="_Toc24106"/>
      <w:bookmarkStart w:id="334" w:name="_Toc16279"/>
      <w:bookmarkStart w:id="335" w:name="_Toc13906"/>
      <w:r>
        <w:rPr>
          <w:rFonts w:hint="eastAsia"/>
          <w:color w:val="auto"/>
          <w:highlight w:val="none"/>
          <w:lang w:val="en-US" w:eastAsia="zh-CN"/>
        </w:rPr>
        <w:t>实施流程</w:t>
      </w:r>
      <w:bookmarkEnd w:id="329"/>
      <w:bookmarkEnd w:id="330"/>
      <w:bookmarkEnd w:id="331"/>
      <w:bookmarkEnd w:id="332"/>
      <w:bookmarkEnd w:id="333"/>
      <w:bookmarkEnd w:id="334"/>
      <w:bookmarkEnd w:id="335"/>
    </w:p>
    <w:p>
      <w:pPr>
        <w:pStyle w:val="26"/>
        <w:bidi w:val="0"/>
        <w:outlineLvl w:val="1"/>
        <w:rPr>
          <w:rFonts w:hint="default"/>
          <w:color w:val="auto"/>
          <w:highlight w:val="none"/>
          <w:lang w:val="en-US" w:eastAsia="zh-CN"/>
        </w:rPr>
      </w:pPr>
      <w:bookmarkStart w:id="336" w:name="_Toc4011"/>
      <w:bookmarkStart w:id="337" w:name="_Toc29195"/>
      <w:bookmarkStart w:id="338" w:name="_Toc14770"/>
      <w:bookmarkStart w:id="339" w:name="_Toc17844"/>
      <w:bookmarkStart w:id="340" w:name="_Toc5626"/>
      <w:bookmarkStart w:id="341" w:name="_Toc17042"/>
      <w:bookmarkStart w:id="342" w:name="_Toc25297"/>
      <w:r>
        <w:rPr>
          <w:rFonts w:hint="eastAsia"/>
          <w:color w:val="auto"/>
          <w:highlight w:val="none"/>
          <w:lang w:val="en-US" w:eastAsia="zh-CN"/>
        </w:rPr>
        <w:t>总体流程</w:t>
      </w:r>
      <w:bookmarkEnd w:id="336"/>
      <w:bookmarkEnd w:id="337"/>
      <w:bookmarkEnd w:id="338"/>
      <w:bookmarkEnd w:id="339"/>
      <w:bookmarkEnd w:id="340"/>
      <w:bookmarkEnd w:id="341"/>
      <w:bookmarkEnd w:id="342"/>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数据处理者在开展数据分类分级时，按照图</w:t>
      </w:r>
      <w:r>
        <w:rPr>
          <w:rFonts w:hint="eastAsia" w:ascii="宋体" w:hAnsi="宋体" w:eastAsia="宋体" w:cs="宋体"/>
          <w:color w:val="auto"/>
          <w:highlight w:val="none"/>
          <w:lang w:val="en-US" w:eastAsia="zh-CN"/>
        </w:rPr>
        <w:t>1</w:t>
      </w:r>
      <w:r>
        <w:rPr>
          <w:rFonts w:hint="eastAsia"/>
          <w:color w:val="auto"/>
          <w:highlight w:val="none"/>
          <w:lang w:val="en-US" w:eastAsia="zh-CN"/>
        </w:rPr>
        <w:t>所示流程实施</w:t>
      </w:r>
      <w:r>
        <w:rPr>
          <w:rFonts w:hint="eastAsia" w:ascii="宋体" w:hAnsi="宋体"/>
          <w:color w:val="auto"/>
          <w:highlight w:val="none"/>
          <w:lang w:val="en-US" w:eastAsia="zh-CN"/>
        </w:rPr>
        <w:t>：</w:t>
      </w:r>
    </w:p>
    <w:p>
      <w:pPr>
        <w:pStyle w:val="2"/>
        <w:spacing w:line="360" w:lineRule="auto"/>
        <w:jc w:val="center"/>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2997835" cy="4770120"/>
            <wp:effectExtent l="0" t="0" r="0" b="0"/>
            <wp:docPr id="15" name="ECB019B1-382A-4266-B25C-5B523AA43C14-1" descr="C:/Users/TOSHIBA/AppData/Local/Temp/wps.TXmeli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CB019B1-382A-4266-B25C-5B523AA43C14-1" descr="C:/Users/TOSHIBA/AppData/Local/Temp/wps.TXmeliwps"/>
                    <pic:cNvPicPr>
                      <a:picLocks noChangeAspect="1"/>
                    </pic:cNvPicPr>
                  </pic:nvPicPr>
                  <pic:blipFill>
                    <a:blip r:embed="rId15"/>
                    <a:stretch>
                      <a:fillRect/>
                    </a:stretch>
                  </pic:blipFill>
                  <pic:spPr>
                    <a:xfrm>
                      <a:off x="0" y="0"/>
                      <a:ext cx="2997835" cy="4770120"/>
                    </a:xfrm>
                    <a:prstGeom prst="rect">
                      <a:avLst/>
                    </a:prstGeom>
                  </pic:spPr>
                </pic:pic>
              </a:graphicData>
            </a:graphic>
          </wp:inline>
        </w:drawing>
      </w:r>
    </w:p>
    <w:p>
      <w:pPr>
        <w:pStyle w:val="69"/>
        <w:bidi w:val="0"/>
        <w:rPr>
          <w:rFonts w:hint="eastAsia"/>
          <w:color w:val="auto"/>
          <w:highlight w:val="none"/>
          <w:lang w:val="en-US" w:eastAsia="zh-CN"/>
        </w:rPr>
      </w:pPr>
      <w:r>
        <w:rPr>
          <w:rFonts w:hint="eastAsia"/>
          <w:color w:val="auto"/>
          <w:highlight w:val="none"/>
          <w:lang w:val="en-US" w:eastAsia="zh-CN"/>
        </w:rPr>
        <w:t>数据分类分级实施流程</w:t>
      </w:r>
    </w:p>
    <w:p>
      <w:pPr>
        <w:pStyle w:val="26"/>
        <w:bidi w:val="0"/>
        <w:outlineLvl w:val="1"/>
        <w:rPr>
          <w:rFonts w:hint="eastAsia"/>
          <w:color w:val="auto"/>
          <w:highlight w:val="none"/>
          <w:lang w:val="en-US" w:eastAsia="zh-CN"/>
        </w:rPr>
      </w:pPr>
      <w:bookmarkStart w:id="343" w:name="_Toc22282"/>
      <w:bookmarkStart w:id="344" w:name="_Toc27997"/>
      <w:bookmarkStart w:id="345" w:name="_Toc19303"/>
      <w:bookmarkStart w:id="346" w:name="_Toc26157"/>
      <w:bookmarkStart w:id="347" w:name="_Toc14260"/>
      <w:bookmarkStart w:id="348" w:name="_Toc12784"/>
      <w:bookmarkStart w:id="349" w:name="_Toc24937"/>
      <w:bookmarkStart w:id="350" w:name="_Toc15846"/>
      <w:bookmarkStart w:id="351" w:name="_Toc30627"/>
      <w:r>
        <w:rPr>
          <w:rFonts w:hint="eastAsia"/>
          <w:color w:val="auto"/>
          <w:highlight w:val="none"/>
          <w:lang w:val="en-US" w:eastAsia="zh-CN"/>
        </w:rPr>
        <w:t>数据资产梳理</w:t>
      </w:r>
      <w:bookmarkEnd w:id="343"/>
      <w:bookmarkEnd w:id="344"/>
      <w:bookmarkEnd w:id="345"/>
      <w:bookmarkEnd w:id="346"/>
      <w:bookmarkEnd w:id="347"/>
      <w:bookmarkEnd w:id="348"/>
      <w:bookmarkEnd w:id="349"/>
      <w:bookmarkEnd w:id="350"/>
      <w:bookmarkEnd w:id="351"/>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全面梳理企业核心数据资产，建立数据标准规范，构建企业的数据资产库。包括以下方面</w:t>
      </w:r>
      <w:r>
        <w:rPr>
          <w:rFonts w:hint="eastAsia" w:ascii="宋体" w:hAnsi="宋体"/>
          <w:color w:val="auto"/>
          <w:highlight w:val="none"/>
          <w:lang w:val="en-US" w:eastAsia="zh-CN"/>
        </w:rPr>
        <w:t>：</w:t>
      </w:r>
    </w:p>
    <w:p>
      <w:pPr>
        <w:pStyle w:val="25"/>
        <w:numPr>
          <w:ilvl w:val="0"/>
          <w:numId w:val="57"/>
        </w:numPr>
        <w:tabs>
          <w:tab w:val="clear" w:pos="0"/>
        </w:tabs>
        <w:spacing w:line="360" w:lineRule="auto"/>
        <w:ind w:left="84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梳理企业信息系统数据架构，构建全局数据视图，对企业的数据模型、数据实体属性关系、数据加工流程、数据职责关系有清晰化的认识</w:t>
      </w:r>
      <w:r>
        <w:rPr>
          <w:rFonts w:hint="eastAsia" w:hAnsi="宋体" w:cs="宋体"/>
          <w:color w:val="auto"/>
          <w:sz w:val="21"/>
          <w:szCs w:val="21"/>
          <w:highlight w:val="none"/>
          <w:lang w:val="en-US" w:eastAsia="zh-CN"/>
        </w:rPr>
        <w:t>。</w:t>
      </w:r>
    </w:p>
    <w:p>
      <w:pPr>
        <w:pStyle w:val="25"/>
        <w:numPr>
          <w:ilvl w:val="0"/>
          <w:numId w:val="57"/>
        </w:numPr>
        <w:tabs>
          <w:tab w:val="clear" w:pos="0"/>
        </w:tabs>
        <w:spacing w:line="360" w:lineRule="auto"/>
        <w:ind w:left="84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对组织的数据资产进行全面梳理，包括以物理和电子形式记录的数据库表、数据项、数据文件等结构化和非结构化数据资产，明确数据资产基本信息和相关方，形成数据资产清单。梳理内容包括但不限于</w:t>
      </w:r>
      <w:r>
        <w:rPr>
          <w:rFonts w:hint="eastAsia" w:ascii="宋体" w:hAnsi="宋体" w:cs="宋体"/>
          <w:color w:val="auto"/>
          <w:sz w:val="21"/>
          <w:szCs w:val="21"/>
          <w:highlight w:val="none"/>
          <w:lang w:val="en-US" w:eastAsia="zh-CN"/>
        </w:rPr>
        <w:t>：</w:t>
      </w:r>
    </w:p>
    <w:p>
      <w:pPr>
        <w:pStyle w:val="25"/>
        <w:keepNext w:val="0"/>
        <w:keepLines w:val="0"/>
        <w:pageBreakBefore w:val="0"/>
        <w:widowControl/>
        <w:numPr>
          <w:ilvl w:val="0"/>
          <w:numId w:val="58"/>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数据基础信息，如文件名称、大小、行数、描述等。</w:t>
      </w:r>
    </w:p>
    <w:p>
      <w:pPr>
        <w:pStyle w:val="25"/>
        <w:keepNext w:val="0"/>
        <w:keepLines w:val="0"/>
        <w:pageBreakBefore w:val="0"/>
        <w:widowControl/>
        <w:numPr>
          <w:ilvl w:val="0"/>
          <w:numId w:val="58"/>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表的字段信息。</w:t>
      </w:r>
    </w:p>
    <w:p>
      <w:pPr>
        <w:pStyle w:val="25"/>
        <w:keepNext w:val="0"/>
        <w:keepLines w:val="0"/>
        <w:pageBreakBefore w:val="0"/>
        <w:widowControl/>
        <w:numPr>
          <w:ilvl w:val="0"/>
          <w:numId w:val="58"/>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工业数据存储位置和路径。</w:t>
      </w:r>
    </w:p>
    <w:p>
      <w:pPr>
        <w:pStyle w:val="25"/>
        <w:keepNext w:val="0"/>
        <w:keepLines w:val="0"/>
        <w:pageBreakBefore w:val="0"/>
        <w:widowControl/>
        <w:numPr>
          <w:ilvl w:val="0"/>
          <w:numId w:val="58"/>
        </w:numPr>
        <w:tabs>
          <w:tab w:val="clear" w:pos="0"/>
        </w:tabs>
        <w:kinsoku/>
        <w:wordWrap/>
        <w:overflowPunct/>
        <w:topLinePunct w:val="0"/>
        <w:autoSpaceDE w:val="0"/>
        <w:autoSpaceDN w:val="0"/>
        <w:bidi w:val="0"/>
        <w:adjustRightInd/>
        <w:snapToGrid/>
        <w:spacing w:line="360" w:lineRule="auto"/>
        <w:ind w:left="1259" w:leftChars="0" w:hanging="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数据样例。</w:t>
      </w:r>
    </w:p>
    <w:p>
      <w:pPr>
        <w:pStyle w:val="25"/>
        <w:numPr>
          <w:ilvl w:val="0"/>
          <w:numId w:val="57"/>
        </w:numPr>
        <w:tabs>
          <w:tab w:val="clear" w:pos="0"/>
        </w:tabs>
        <w:spacing w:line="360" w:lineRule="auto"/>
        <w:ind w:left="84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制定数据资产管理制度规范</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包括数据模型、元数据、参考数据、业务规则等</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明确企业内不同数据管理角色的职责</w:t>
      </w:r>
      <w:r>
        <w:rPr>
          <w:rFonts w:hint="eastAsia" w:hAnsi="宋体" w:cs="宋体"/>
          <w:color w:val="auto"/>
          <w:sz w:val="21"/>
          <w:szCs w:val="21"/>
          <w:highlight w:val="none"/>
          <w:lang w:val="en-US" w:eastAsia="zh-CN"/>
        </w:rPr>
        <w:t>。</w:t>
      </w:r>
    </w:p>
    <w:p>
      <w:pPr>
        <w:pStyle w:val="25"/>
        <w:numPr>
          <w:ilvl w:val="0"/>
          <w:numId w:val="57"/>
        </w:numPr>
        <w:tabs>
          <w:tab w:val="clear" w:pos="0"/>
        </w:tabs>
        <w:spacing w:line="360" w:lineRule="auto"/>
        <w:ind w:left="840" w:leftChars="0" w:hanging="420" w:firstLineChars="0"/>
        <w:rPr>
          <w:rFonts w:hint="eastAsia"/>
          <w:highlight w:val="none"/>
          <w:lang w:val="en-US" w:eastAsia="zh-CN"/>
        </w:rPr>
      </w:pPr>
      <w:r>
        <w:rPr>
          <w:rFonts w:hint="eastAsia" w:ascii="宋体" w:hAnsi="宋体" w:eastAsia="宋体" w:cs="宋体"/>
          <w:color w:val="auto"/>
          <w:sz w:val="21"/>
          <w:szCs w:val="21"/>
          <w:highlight w:val="none"/>
          <w:lang w:val="en-US" w:eastAsia="zh-CN"/>
        </w:rPr>
        <w:t>对企业数据资产设计信息化管理方式，构建企业的数据仓库、元数据库、主数据库等。</w:t>
      </w:r>
    </w:p>
    <w:p>
      <w:pPr>
        <w:pStyle w:val="26"/>
        <w:bidi w:val="0"/>
        <w:outlineLvl w:val="1"/>
        <w:rPr>
          <w:rFonts w:hint="eastAsia"/>
          <w:color w:val="auto"/>
          <w:highlight w:val="none"/>
          <w:lang w:val="en-US" w:eastAsia="zh-CN"/>
        </w:rPr>
      </w:pPr>
      <w:bookmarkStart w:id="352" w:name="_Toc8284"/>
      <w:bookmarkStart w:id="353" w:name="_Toc19439"/>
      <w:bookmarkStart w:id="354" w:name="_Toc27152"/>
      <w:bookmarkStart w:id="355" w:name="_Toc22158"/>
      <w:bookmarkStart w:id="356" w:name="_Toc13423"/>
      <w:bookmarkStart w:id="357" w:name="_Toc32715"/>
      <w:bookmarkStart w:id="358" w:name="_Toc3693"/>
      <w:bookmarkStart w:id="359" w:name="_Toc18062"/>
      <w:bookmarkStart w:id="360" w:name="_Toc2154"/>
      <w:r>
        <w:rPr>
          <w:rFonts w:hint="eastAsia"/>
          <w:color w:val="auto"/>
          <w:highlight w:val="none"/>
          <w:lang w:val="en-US" w:eastAsia="zh-CN"/>
        </w:rPr>
        <w:t>数据分类</w:t>
      </w:r>
      <w:bookmarkEnd w:id="352"/>
      <w:bookmarkEnd w:id="353"/>
      <w:bookmarkEnd w:id="354"/>
      <w:bookmarkEnd w:id="355"/>
      <w:bookmarkEnd w:id="356"/>
      <w:bookmarkEnd w:id="357"/>
      <w:bookmarkEnd w:id="358"/>
      <w:bookmarkEnd w:id="359"/>
      <w:bookmarkEnd w:id="360"/>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根据企业实际需求从行业领域、业务领域、系统层级、生产周期、数据共享属性、数据开放属性、个人信息、数据加工程度、数据敏感程度、存储方式、更新频率</w:t>
      </w:r>
      <w:r>
        <w:rPr>
          <w:rFonts w:hint="eastAsia" w:ascii="宋体" w:hAnsi="宋体" w:cs="宋体"/>
          <w:color w:val="auto"/>
          <w:sz w:val="21"/>
          <w:szCs w:val="21"/>
          <w:highlight w:val="none"/>
          <w:lang w:val="en-US" w:eastAsia="zh-CN"/>
        </w:rPr>
        <w:t>等</w:t>
      </w:r>
      <w:r>
        <w:rPr>
          <w:rFonts w:hint="eastAsia"/>
          <w:color w:val="auto"/>
          <w:highlight w:val="none"/>
          <w:lang w:val="en-US" w:eastAsia="zh-CN"/>
        </w:rPr>
        <w:t>维度对数据进行分类。实施流程如下</w:t>
      </w:r>
      <w:r>
        <w:rPr>
          <w:rFonts w:hint="eastAsia" w:ascii="宋体" w:hAnsi="宋体"/>
          <w:color w:val="auto"/>
          <w:highlight w:val="none"/>
          <w:lang w:val="en-US" w:eastAsia="zh-CN"/>
        </w:rPr>
        <w:t>：</w:t>
      </w:r>
    </w:p>
    <w:p>
      <w:pPr>
        <w:pStyle w:val="25"/>
        <w:numPr>
          <w:ilvl w:val="0"/>
          <w:numId w:val="59"/>
        </w:numPr>
        <w:tabs>
          <w:tab w:val="clear" w:pos="0"/>
        </w:tabs>
        <w:spacing w:line="360" w:lineRule="auto"/>
        <w:ind w:left="840" w:leftChars="0" w:hanging="420" w:firstLineChars="0"/>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现状调研</w:t>
      </w:r>
      <w:r>
        <w:rPr>
          <w:rFonts w:hint="eastAsia" w:ascii="宋体" w:hAnsi="宋体" w:cs="宋体"/>
          <w:color w:val="auto"/>
          <w:sz w:val="21"/>
          <w:szCs w:val="21"/>
          <w:highlight w:val="none"/>
          <w:lang w:val="en-US" w:eastAsia="zh-CN"/>
        </w:rPr>
        <w:t>：</w:t>
      </w:r>
      <w:r>
        <w:rPr>
          <w:rFonts w:hint="eastAsia" w:hAnsi="宋体" w:cs="宋体"/>
          <w:color w:val="auto"/>
          <w:sz w:val="21"/>
          <w:szCs w:val="21"/>
          <w:highlight w:val="none"/>
          <w:lang w:val="en-US" w:eastAsia="zh-CN"/>
        </w:rPr>
        <w:t>对工业数据现状进行调研，明确数据产生的部门、场景、方式、频率等情况。</w:t>
      </w:r>
    </w:p>
    <w:p>
      <w:pPr>
        <w:pStyle w:val="25"/>
        <w:numPr>
          <w:ilvl w:val="0"/>
          <w:numId w:val="59"/>
        </w:numPr>
        <w:tabs>
          <w:tab w:val="clear" w:pos="0"/>
        </w:tabs>
        <w:spacing w:line="360" w:lineRule="auto"/>
        <w:ind w:left="840" w:leftChars="0" w:hanging="420" w:firstLineChars="0"/>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制定工作计划</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明确分类的目的和范围</w:t>
      </w:r>
      <w:r>
        <w:rPr>
          <w:rFonts w:hint="eastAsia"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根据数据的属性和特征，选择合适的分类维度和粒度。</w:t>
      </w:r>
    </w:p>
    <w:p>
      <w:pPr>
        <w:pStyle w:val="25"/>
        <w:numPr>
          <w:ilvl w:val="0"/>
          <w:numId w:val="59"/>
        </w:numPr>
        <w:tabs>
          <w:tab w:val="clear" w:pos="0"/>
        </w:tabs>
        <w:spacing w:line="360" w:lineRule="auto"/>
        <w:ind w:left="840" w:leftChars="0" w:hanging="420" w:firstLineChars="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收集数据</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收集需要分类的工业数据，可以从企业内部的不同系统和应用中获取</w:t>
      </w:r>
      <w:r>
        <w:rPr>
          <w:rFonts w:hint="eastAsia" w:hAnsi="宋体" w:cs="宋体"/>
          <w:color w:val="auto"/>
          <w:sz w:val="21"/>
          <w:szCs w:val="21"/>
          <w:highlight w:val="none"/>
          <w:lang w:val="en-US" w:eastAsia="zh-CN"/>
        </w:rPr>
        <w:t>，也可以从企业外部获取</w:t>
      </w:r>
      <w:r>
        <w:rPr>
          <w:rFonts w:hint="default" w:ascii="宋体" w:hAnsi="宋体" w:eastAsia="宋体" w:cs="宋体"/>
          <w:color w:val="auto"/>
          <w:sz w:val="21"/>
          <w:szCs w:val="21"/>
          <w:highlight w:val="none"/>
          <w:lang w:val="en-US" w:eastAsia="zh-CN"/>
        </w:rPr>
        <w:t>。</w:t>
      </w:r>
    </w:p>
    <w:p>
      <w:pPr>
        <w:pStyle w:val="25"/>
        <w:numPr>
          <w:ilvl w:val="0"/>
          <w:numId w:val="59"/>
        </w:numPr>
        <w:tabs>
          <w:tab w:val="clear" w:pos="0"/>
        </w:tabs>
        <w:spacing w:line="360" w:lineRule="auto"/>
        <w:ind w:left="840" w:leftChars="0" w:hanging="420" w:firstLineChars="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数据预处理</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对收集到的数据进行预处理，包括数据清洗、格式转换、缺失值处理等。</w:t>
      </w:r>
    </w:p>
    <w:p>
      <w:pPr>
        <w:pStyle w:val="25"/>
        <w:numPr>
          <w:ilvl w:val="0"/>
          <w:numId w:val="59"/>
        </w:numPr>
        <w:tabs>
          <w:tab w:val="clear" w:pos="0"/>
        </w:tabs>
        <w:spacing w:line="360" w:lineRule="auto"/>
        <w:ind w:left="840" w:leftChars="0" w:hanging="420" w:firstLineChars="0"/>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实施</w:t>
      </w:r>
      <w:r>
        <w:rPr>
          <w:rFonts w:hint="default" w:ascii="宋体" w:hAnsi="宋体" w:eastAsia="宋体" w:cs="宋体"/>
          <w:color w:val="auto"/>
          <w:sz w:val="21"/>
          <w:szCs w:val="21"/>
          <w:highlight w:val="none"/>
          <w:lang w:val="en-US" w:eastAsia="zh-CN"/>
        </w:rPr>
        <w:t>分类</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按照选定的分类维度和粒度，对数据进行分类</w:t>
      </w:r>
      <w:r>
        <w:rPr>
          <w:rFonts w:hint="eastAsia" w:hAnsi="宋体" w:cs="宋体"/>
          <w:color w:val="auto"/>
          <w:sz w:val="21"/>
          <w:szCs w:val="21"/>
          <w:highlight w:val="none"/>
          <w:lang w:val="en-US" w:eastAsia="zh-CN"/>
        </w:rPr>
        <w:t>。</w:t>
      </w:r>
    </w:p>
    <w:p>
      <w:pPr>
        <w:pStyle w:val="25"/>
        <w:numPr>
          <w:ilvl w:val="0"/>
          <w:numId w:val="59"/>
        </w:numPr>
        <w:tabs>
          <w:tab w:val="clear" w:pos="0"/>
        </w:tabs>
        <w:spacing w:line="360" w:lineRule="auto"/>
        <w:ind w:left="840" w:leftChars="0" w:hanging="420" w:firstLineChars="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编码规范化</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对分类结果进行编码规范化处理，确保分类结果的一致性和可扩展性。</w:t>
      </w:r>
    </w:p>
    <w:p>
      <w:pPr>
        <w:pStyle w:val="26"/>
        <w:bidi w:val="0"/>
        <w:outlineLvl w:val="1"/>
        <w:rPr>
          <w:rFonts w:hint="default"/>
          <w:color w:val="auto"/>
          <w:highlight w:val="none"/>
          <w:lang w:val="en-US" w:eastAsia="zh-CN"/>
        </w:rPr>
      </w:pPr>
      <w:bookmarkStart w:id="361" w:name="_Toc432"/>
      <w:bookmarkStart w:id="362" w:name="_Toc24933"/>
      <w:bookmarkStart w:id="363" w:name="_Toc10127"/>
      <w:bookmarkStart w:id="364" w:name="_Toc80"/>
      <w:r>
        <w:rPr>
          <w:rFonts w:hint="eastAsia"/>
          <w:color w:val="auto"/>
          <w:highlight w:val="none"/>
          <w:lang w:val="en-US" w:eastAsia="zh-CN"/>
        </w:rPr>
        <w:t>数据分级</w:t>
      </w:r>
      <w:bookmarkEnd w:id="361"/>
      <w:bookmarkEnd w:id="362"/>
      <w:bookmarkEnd w:id="363"/>
      <w:bookmarkEnd w:id="364"/>
    </w:p>
    <w:p>
      <w:pPr>
        <w:spacing w:line="360" w:lineRule="auto"/>
        <w:ind w:firstLine="420" w:firstLineChars="200"/>
        <w:rPr>
          <w:rFonts w:hint="eastAsia"/>
          <w:color w:val="auto"/>
          <w:highlight w:val="none"/>
          <w:lang w:val="en-US" w:eastAsia="zh-CN"/>
        </w:rPr>
      </w:pPr>
      <w:r>
        <w:rPr>
          <w:rFonts w:hint="default" w:ascii="宋体" w:hAnsi="宋体" w:eastAsia="宋体" w:cs="宋体"/>
          <w:color w:val="auto"/>
          <w:sz w:val="21"/>
          <w:szCs w:val="21"/>
          <w:highlight w:val="none"/>
          <w:lang w:val="en-US" w:eastAsia="zh-CN"/>
        </w:rPr>
        <w:t>根据不同类别工业数据遭篡改、破坏、泄露或非法利用后，可能对</w:t>
      </w:r>
      <w:r>
        <w:rPr>
          <w:rFonts w:hint="eastAsia" w:hAnsi="宋体" w:cs="宋体"/>
          <w:color w:val="auto"/>
          <w:sz w:val="21"/>
          <w:szCs w:val="21"/>
          <w:highlight w:val="none"/>
          <w:lang w:val="en-US" w:eastAsia="zh-CN"/>
        </w:rPr>
        <w:t>国家安全、公共利益、个人合法权益以及组织合法权益</w:t>
      </w:r>
      <w:r>
        <w:rPr>
          <w:rFonts w:hint="default" w:ascii="宋体" w:hAnsi="宋体" w:eastAsia="宋体" w:cs="宋体"/>
          <w:color w:val="auto"/>
          <w:sz w:val="21"/>
          <w:szCs w:val="21"/>
          <w:highlight w:val="none"/>
          <w:lang w:val="en-US" w:eastAsia="zh-CN"/>
        </w:rPr>
        <w:t>带来的潜在影响</w:t>
      </w:r>
      <w:r>
        <w:rPr>
          <w:rFonts w:hint="eastAsia"/>
          <w:color w:val="auto"/>
          <w:highlight w:val="none"/>
          <w:lang w:val="en-US" w:eastAsia="zh-CN"/>
        </w:rPr>
        <w:t>的影响对象和影响程度对数据进行分级。实施流程如下</w:t>
      </w:r>
      <w:r>
        <w:rPr>
          <w:rFonts w:hint="eastAsia" w:ascii="宋体" w:hAnsi="宋体"/>
          <w:color w:val="auto"/>
          <w:highlight w:val="none"/>
          <w:lang w:val="en-US" w:eastAsia="zh-CN"/>
        </w:rPr>
        <w:t>：</w:t>
      </w:r>
    </w:p>
    <w:p>
      <w:pPr>
        <w:pStyle w:val="25"/>
        <w:numPr>
          <w:ilvl w:val="0"/>
          <w:numId w:val="60"/>
        </w:numPr>
        <w:tabs>
          <w:tab w:val="clear" w:pos="0"/>
        </w:tabs>
        <w:spacing w:line="360" w:lineRule="auto"/>
        <w:ind w:left="840" w:leftChars="0" w:hanging="420" w:firstLineChars="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确定定级对象</w:t>
      </w:r>
      <w:r>
        <w:rPr>
          <w:rFonts w:hint="eastAsia" w:ascii="宋体" w:hAnsi="宋体" w:cs="宋体"/>
          <w:color w:val="auto"/>
          <w:sz w:val="21"/>
          <w:szCs w:val="21"/>
          <w:highlight w:val="none"/>
          <w:lang w:val="en-US" w:eastAsia="zh-CN"/>
        </w:rPr>
        <w:t>：</w:t>
      </w:r>
      <w:r>
        <w:rPr>
          <w:rFonts w:hint="eastAsia" w:hAnsi="宋体" w:cs="宋体"/>
          <w:color w:val="auto"/>
          <w:sz w:val="21"/>
          <w:szCs w:val="21"/>
          <w:highlight w:val="none"/>
          <w:lang w:val="en-US" w:eastAsia="zh-CN"/>
        </w:rPr>
        <w:t>确定待分级的数据，包括数据项、数据集、衍生数据、跨行业领域数据等。</w:t>
      </w:r>
    </w:p>
    <w:p>
      <w:pPr>
        <w:pStyle w:val="25"/>
        <w:numPr>
          <w:ilvl w:val="0"/>
          <w:numId w:val="60"/>
        </w:numPr>
        <w:tabs>
          <w:tab w:val="clear" w:pos="0"/>
        </w:tabs>
        <w:spacing w:line="360" w:lineRule="auto"/>
        <w:ind w:left="840" w:leftChars="0" w:hanging="420" w:firstLineChars="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分级因素识别</w:t>
      </w:r>
      <w:r>
        <w:rPr>
          <w:rFonts w:hint="eastAsia" w:ascii="宋体" w:hAnsi="宋体" w:cs="宋体"/>
          <w:color w:val="auto"/>
          <w:sz w:val="21"/>
          <w:szCs w:val="21"/>
          <w:highlight w:val="none"/>
          <w:lang w:val="en-US" w:eastAsia="zh-CN"/>
        </w:rPr>
        <w:t>：</w:t>
      </w:r>
      <w:r>
        <w:rPr>
          <w:rFonts w:hint="eastAsia" w:hAnsi="宋体" w:cs="宋体"/>
          <w:color w:val="auto"/>
          <w:sz w:val="21"/>
          <w:szCs w:val="21"/>
          <w:highlight w:val="none"/>
          <w:lang w:val="en-US" w:eastAsia="zh-CN"/>
        </w:rPr>
        <w:t>数据的领域、群体、区域、精度、规模、深度、覆盖度、重要性、安全风险等因素都会影响数据的分级。</w:t>
      </w:r>
    </w:p>
    <w:p>
      <w:pPr>
        <w:pStyle w:val="25"/>
        <w:numPr>
          <w:ilvl w:val="0"/>
          <w:numId w:val="60"/>
        </w:numPr>
        <w:tabs>
          <w:tab w:val="clear" w:pos="0"/>
        </w:tabs>
        <w:spacing w:line="360" w:lineRule="auto"/>
        <w:ind w:left="840" w:leftChars="0" w:hanging="420" w:firstLineChars="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数据影响分析</w:t>
      </w:r>
      <w:r>
        <w:rPr>
          <w:rFonts w:hint="eastAsia" w:ascii="宋体" w:hAnsi="宋体" w:cs="宋体"/>
          <w:color w:val="auto"/>
          <w:sz w:val="21"/>
          <w:szCs w:val="21"/>
          <w:highlight w:val="none"/>
          <w:lang w:val="en-US" w:eastAsia="zh-CN"/>
        </w:rPr>
        <w:t>：</w:t>
      </w:r>
      <w:r>
        <w:rPr>
          <w:rFonts w:hint="eastAsia" w:hAnsi="宋体" w:cs="宋体"/>
          <w:color w:val="auto"/>
          <w:sz w:val="21"/>
          <w:szCs w:val="21"/>
          <w:highlight w:val="none"/>
          <w:lang w:val="en-US" w:eastAsia="zh-CN"/>
        </w:rPr>
        <w:t>确定影响对象，包括国家安全、公共利益、个人合法权益、组织合法权益等。</w:t>
      </w:r>
    </w:p>
    <w:p>
      <w:pPr>
        <w:pStyle w:val="25"/>
        <w:numPr>
          <w:ilvl w:val="0"/>
          <w:numId w:val="60"/>
        </w:numPr>
        <w:tabs>
          <w:tab w:val="clear" w:pos="0"/>
        </w:tabs>
        <w:spacing w:line="360" w:lineRule="auto"/>
        <w:ind w:left="840" w:leftChars="0" w:hanging="420" w:firstLineChars="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确定影响程度，包括轻微危害、一般危害、严重危害等。</w:t>
      </w:r>
    </w:p>
    <w:p>
      <w:pPr>
        <w:pStyle w:val="25"/>
        <w:numPr>
          <w:ilvl w:val="0"/>
          <w:numId w:val="60"/>
        </w:numPr>
        <w:tabs>
          <w:tab w:val="clear" w:pos="0"/>
        </w:tabs>
        <w:spacing w:line="360" w:lineRule="auto"/>
        <w:ind w:left="840" w:leftChars="0" w:hanging="420" w:firstLineChars="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综合确定级别</w:t>
      </w:r>
      <w:r>
        <w:rPr>
          <w:rFonts w:hint="eastAsia" w:ascii="宋体" w:hAnsi="宋体" w:cs="宋体"/>
          <w:color w:val="auto"/>
          <w:sz w:val="21"/>
          <w:szCs w:val="21"/>
          <w:highlight w:val="none"/>
          <w:lang w:val="en-US" w:eastAsia="zh-CN"/>
        </w:rPr>
        <w:t>：</w:t>
      </w:r>
      <w:r>
        <w:rPr>
          <w:rFonts w:hint="eastAsia" w:hAnsi="宋体" w:cs="宋体"/>
          <w:color w:val="auto"/>
          <w:sz w:val="21"/>
          <w:szCs w:val="21"/>
          <w:highlight w:val="none"/>
          <w:lang w:val="en-US" w:eastAsia="zh-CN"/>
        </w:rPr>
        <w:t>按照分级参考规则确定数据级别。</w:t>
      </w:r>
    </w:p>
    <w:p>
      <w:pPr>
        <w:pStyle w:val="26"/>
        <w:bidi w:val="0"/>
        <w:outlineLvl w:val="1"/>
        <w:rPr>
          <w:rFonts w:hint="eastAsia"/>
          <w:color w:val="auto"/>
          <w:highlight w:val="none"/>
          <w:lang w:val="en-US" w:eastAsia="zh-CN"/>
        </w:rPr>
      </w:pPr>
      <w:bookmarkStart w:id="365" w:name="_Toc30942"/>
      <w:bookmarkStart w:id="366" w:name="_Toc9046"/>
      <w:bookmarkStart w:id="367" w:name="_Toc24847"/>
      <w:bookmarkStart w:id="368" w:name="_Toc28514"/>
      <w:r>
        <w:rPr>
          <w:rFonts w:hint="eastAsia"/>
          <w:color w:val="auto"/>
          <w:highlight w:val="none"/>
          <w:lang w:val="en-US" w:eastAsia="zh-CN"/>
        </w:rPr>
        <w:t>分类分级结果审核</w:t>
      </w:r>
      <w:bookmarkEnd w:id="365"/>
      <w:bookmarkEnd w:id="366"/>
      <w:bookmarkEnd w:id="367"/>
      <w:bookmarkEnd w:id="368"/>
    </w:p>
    <w:p>
      <w:pPr>
        <w:numPr>
          <w:ilvl w:val="0"/>
          <w:numId w:val="0"/>
        </w:numPr>
        <w:tabs>
          <w:tab w:val="left" w:pos="0"/>
        </w:tabs>
        <w:spacing w:line="360" w:lineRule="auto"/>
        <w:ind w:firstLine="420" w:firstLineChars="200"/>
        <w:rPr>
          <w:rFonts w:hint="eastAsia"/>
          <w:highlight w:val="none"/>
          <w:lang w:val="en-US" w:eastAsia="zh-CN"/>
        </w:rPr>
      </w:pPr>
      <w:r>
        <w:rPr>
          <w:rFonts w:hint="eastAsia"/>
          <w:color w:val="auto"/>
          <w:highlight w:val="none"/>
          <w:lang w:val="en-US" w:eastAsia="zh-CN"/>
        </w:rPr>
        <w:t>数据分类分级的过程和结果进行审查和验证，以确保分类分级结果的准确性和完整性。数据分类分级结果审核的主要目的是发现数据分类分级过程中可能存在的错误，以及确保分类分级结果的准确性和可靠性。数据分类分级结果审核通常包括以下步骤</w:t>
      </w:r>
      <w:r>
        <w:rPr>
          <w:rFonts w:hint="eastAsia" w:ascii="宋体" w:hAnsi="宋体"/>
          <w:color w:val="auto"/>
          <w:highlight w:val="none"/>
          <w:lang w:val="en-US" w:eastAsia="zh-CN"/>
        </w:rPr>
        <w:t>：</w:t>
      </w:r>
    </w:p>
    <w:p>
      <w:pPr>
        <w:numPr>
          <w:ilvl w:val="0"/>
          <w:numId w:val="61"/>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审核数据分类分级的过程</w:t>
      </w:r>
      <w:r>
        <w:rPr>
          <w:rFonts w:hint="eastAsia" w:ascii="宋体" w:hAnsi="宋体"/>
          <w:color w:val="auto"/>
          <w:highlight w:val="none"/>
          <w:lang w:val="en-US" w:eastAsia="zh-CN"/>
        </w:rPr>
        <w:t>：</w:t>
      </w:r>
      <w:r>
        <w:rPr>
          <w:rFonts w:hint="eastAsia"/>
          <w:color w:val="auto"/>
          <w:highlight w:val="none"/>
          <w:lang w:val="en-US" w:eastAsia="zh-CN"/>
        </w:rPr>
        <w:t>检查数据分类分级的过程是否符合</w:t>
      </w:r>
      <w:r>
        <w:rPr>
          <w:rFonts w:hint="default"/>
          <w:color w:val="auto"/>
          <w:highlight w:val="none"/>
          <w:lang w:eastAsia="zh-CN"/>
        </w:rPr>
        <w:t>预期要求</w:t>
      </w:r>
      <w:r>
        <w:rPr>
          <w:rFonts w:hint="eastAsia"/>
          <w:color w:val="auto"/>
          <w:highlight w:val="none"/>
          <w:lang w:val="en-US" w:eastAsia="zh-CN"/>
        </w:rPr>
        <w:t>。</w:t>
      </w:r>
    </w:p>
    <w:p>
      <w:pPr>
        <w:numPr>
          <w:ilvl w:val="0"/>
          <w:numId w:val="61"/>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审核数据分类分级的结果</w:t>
      </w:r>
      <w:r>
        <w:rPr>
          <w:rFonts w:hint="eastAsia" w:ascii="宋体" w:hAnsi="宋体"/>
          <w:color w:val="auto"/>
          <w:highlight w:val="none"/>
          <w:lang w:val="en-US" w:eastAsia="zh-CN"/>
        </w:rPr>
        <w:t>：</w:t>
      </w:r>
      <w:r>
        <w:rPr>
          <w:rFonts w:hint="eastAsia"/>
          <w:color w:val="auto"/>
          <w:highlight w:val="none"/>
          <w:lang w:val="en-US" w:eastAsia="zh-CN"/>
        </w:rPr>
        <w:t>检查数据分类分级的结果是否与数据实际情况相符，包括分类</w:t>
      </w:r>
      <w:r>
        <w:rPr>
          <w:rFonts w:hint="default"/>
          <w:color w:val="auto"/>
          <w:highlight w:val="none"/>
          <w:lang w:eastAsia="zh-CN"/>
        </w:rPr>
        <w:t>分级</w:t>
      </w:r>
      <w:r>
        <w:rPr>
          <w:rFonts w:hint="eastAsia"/>
          <w:color w:val="auto"/>
          <w:highlight w:val="none"/>
          <w:lang w:val="en-US" w:eastAsia="zh-CN"/>
        </w:rPr>
        <w:t>的</w:t>
      </w:r>
      <w:r>
        <w:rPr>
          <w:rFonts w:hint="default"/>
          <w:color w:val="auto"/>
          <w:highlight w:val="none"/>
          <w:lang w:eastAsia="zh-CN"/>
        </w:rPr>
        <w:t>合理</w:t>
      </w:r>
      <w:r>
        <w:rPr>
          <w:rFonts w:hint="eastAsia"/>
          <w:color w:val="auto"/>
          <w:highlight w:val="none"/>
          <w:lang w:val="en-US" w:eastAsia="zh-CN"/>
        </w:rPr>
        <w:t>性、完整性和一致性。</w:t>
      </w:r>
    </w:p>
    <w:p>
      <w:pPr>
        <w:numPr>
          <w:ilvl w:val="0"/>
          <w:numId w:val="61"/>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审核数据分类分级的应用</w:t>
      </w:r>
      <w:r>
        <w:rPr>
          <w:rFonts w:hint="eastAsia" w:ascii="宋体" w:hAnsi="宋体"/>
          <w:color w:val="auto"/>
          <w:highlight w:val="none"/>
          <w:lang w:val="en-US" w:eastAsia="zh-CN"/>
        </w:rPr>
        <w:t>：</w:t>
      </w:r>
      <w:r>
        <w:rPr>
          <w:rFonts w:hint="eastAsia"/>
          <w:color w:val="auto"/>
          <w:highlight w:val="none"/>
          <w:lang w:val="en-US" w:eastAsia="zh-CN"/>
        </w:rPr>
        <w:t>确认数据分类分级的结果是否能够被有效应用，包括对数据进行分类分级后的结果能否满足业务需求、能否支持决策和管理等。</w:t>
      </w:r>
    </w:p>
    <w:p>
      <w:pPr>
        <w:pStyle w:val="26"/>
        <w:bidi w:val="0"/>
        <w:outlineLvl w:val="1"/>
        <w:rPr>
          <w:rFonts w:hint="default"/>
          <w:color w:val="auto"/>
          <w:highlight w:val="none"/>
          <w:lang w:val="en-US" w:eastAsia="zh-CN"/>
        </w:rPr>
      </w:pPr>
      <w:bookmarkStart w:id="369" w:name="_Toc939"/>
      <w:bookmarkStart w:id="370" w:name="_Toc32744"/>
      <w:r>
        <w:rPr>
          <w:rFonts w:hint="eastAsia"/>
          <w:color w:val="auto"/>
          <w:highlight w:val="none"/>
          <w:lang w:val="en-US" w:eastAsia="zh-CN"/>
        </w:rPr>
        <w:t>数据备案</w:t>
      </w:r>
      <w:bookmarkEnd w:id="369"/>
      <w:bookmarkEnd w:id="370"/>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对于重要数据和核心数据，应向工业和信息化部进行备案，具体要求如下：</w:t>
      </w:r>
    </w:p>
    <w:p>
      <w:pPr>
        <w:numPr>
          <w:ilvl w:val="0"/>
          <w:numId w:val="62"/>
        </w:numPr>
        <w:spacing w:line="360" w:lineRule="auto"/>
        <w:ind w:left="840" w:leftChars="0" w:hanging="420" w:firstLineChars="0"/>
        <w:rPr>
          <w:rFonts w:hint="eastAsia"/>
          <w:lang w:val="en-US" w:eastAsia="zh-CN"/>
        </w:rPr>
      </w:pPr>
      <w:r>
        <w:rPr>
          <w:rFonts w:hint="default"/>
          <w:color w:val="auto"/>
          <w:highlight w:val="none"/>
          <w:lang w:val="en-US" w:eastAsia="zh-CN"/>
        </w:rPr>
        <w:t>工业和电信数据处理者应当按照有关要求进行备案，备案内容发生变化的，应在三个月内报备变更情况，同时对整体备案情况进行更新。</w:t>
      </w:r>
    </w:p>
    <w:p>
      <w:pPr>
        <w:numPr>
          <w:ilvl w:val="0"/>
          <w:numId w:val="62"/>
        </w:numPr>
        <w:spacing w:line="360" w:lineRule="auto"/>
        <w:ind w:left="840" w:leftChars="0" w:hanging="420" w:firstLineChars="0"/>
        <w:rPr>
          <w:rFonts w:hint="eastAsia"/>
          <w:lang w:val="en-US" w:eastAsia="zh-CN"/>
        </w:rPr>
      </w:pPr>
      <w:r>
        <w:rPr>
          <w:rFonts w:hint="default"/>
          <w:color w:val="auto"/>
          <w:highlight w:val="none"/>
          <w:lang w:val="en-US" w:eastAsia="zh-CN"/>
        </w:rPr>
        <w:t>备案内容包括数据的数量、类别、处理目的和方式、使用范围、主体责任、安全保护措施等基本情况，数据提供、公开、出境、承接，以及数据安全风险、事件处置等情况。</w:t>
      </w:r>
    </w:p>
    <w:p>
      <w:pPr>
        <w:numPr>
          <w:ilvl w:val="0"/>
          <w:numId w:val="62"/>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地方工业和信息化主管部门、通信管理局应当分别对本地区工业、电信行业重要数据和核心数据备案内容进行审核，对不符合有关备案要求的，应当督促企业及时完善并重新进行备案。</w:t>
      </w:r>
    </w:p>
    <w:p>
      <w:pPr>
        <w:pStyle w:val="26"/>
        <w:bidi w:val="0"/>
        <w:outlineLvl w:val="1"/>
        <w:rPr>
          <w:rFonts w:hint="default"/>
          <w:color w:val="auto"/>
          <w:highlight w:val="none"/>
          <w:lang w:val="en-US" w:eastAsia="zh-CN"/>
        </w:rPr>
      </w:pPr>
      <w:bookmarkStart w:id="371" w:name="_Toc7845"/>
      <w:bookmarkStart w:id="372" w:name="_Toc932"/>
      <w:bookmarkStart w:id="373" w:name="_Toc26312"/>
      <w:bookmarkStart w:id="374" w:name="_Toc32136"/>
      <w:bookmarkStart w:id="375" w:name="_Toc14418"/>
      <w:bookmarkStart w:id="376" w:name="_Toc23948"/>
      <w:bookmarkStart w:id="377" w:name="_Toc25116"/>
      <w:bookmarkStart w:id="378" w:name="_Toc3322"/>
      <w:bookmarkStart w:id="379" w:name="_Toc2897"/>
      <w:r>
        <w:rPr>
          <w:rFonts w:hint="eastAsia"/>
          <w:color w:val="auto"/>
          <w:highlight w:val="none"/>
          <w:lang w:val="en-US" w:eastAsia="zh-CN"/>
        </w:rPr>
        <w:t>数据分类分级管理</w:t>
      </w:r>
      <w:bookmarkEnd w:id="371"/>
      <w:bookmarkEnd w:id="372"/>
      <w:bookmarkEnd w:id="373"/>
      <w:bookmarkEnd w:id="374"/>
      <w:bookmarkEnd w:id="375"/>
      <w:bookmarkEnd w:id="376"/>
      <w:bookmarkEnd w:id="377"/>
      <w:bookmarkEnd w:id="378"/>
      <w:bookmarkEnd w:id="379"/>
    </w:p>
    <w:p>
      <w:pPr>
        <w:spacing w:line="360" w:lineRule="auto"/>
        <w:ind w:firstLine="420" w:firstLineChars="200"/>
        <w:rPr>
          <w:rFonts w:hint="default"/>
          <w:color w:val="auto"/>
          <w:highlight w:val="none"/>
          <w:lang w:val="en-US" w:eastAsia="zh-CN"/>
        </w:rPr>
      </w:pPr>
      <w:r>
        <w:rPr>
          <w:rFonts w:hint="eastAsia"/>
          <w:color w:val="auto"/>
          <w:highlight w:val="none"/>
          <w:lang w:val="en-US" w:eastAsia="zh-CN"/>
        </w:rPr>
        <w:t>数据分类分级保护应满足以下要求</w:t>
      </w:r>
      <w:r>
        <w:rPr>
          <w:rFonts w:hint="eastAsia" w:ascii="宋体" w:hAnsi="宋体"/>
          <w:color w:val="auto"/>
          <w:highlight w:val="none"/>
          <w:lang w:val="en-US" w:eastAsia="zh-CN"/>
        </w:rPr>
        <w:t>：</w:t>
      </w:r>
    </w:p>
    <w:p>
      <w:pPr>
        <w:numPr>
          <w:ilvl w:val="0"/>
          <w:numId w:val="63"/>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依据国家以及行业领域给出的数据分类分级保护要求，建立数据分类分级保护策略，对数据实施全流程分类分级管理和保护。</w:t>
      </w:r>
    </w:p>
    <w:p>
      <w:pPr>
        <w:numPr>
          <w:ilvl w:val="0"/>
          <w:numId w:val="63"/>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将不同类别和级别的数据进行分开存储，并采取物理或逻辑隔离机制。</w:t>
      </w:r>
    </w:p>
    <w:p>
      <w:pPr>
        <w:numPr>
          <w:ilvl w:val="0"/>
          <w:numId w:val="63"/>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依照数据分类分级建立相应的数据删除机制，明确需要进行数据销毁的数据、方式和要求，明确销毁数据范围和流程。</w:t>
      </w:r>
    </w:p>
    <w:p>
      <w:pPr>
        <w:numPr>
          <w:ilvl w:val="0"/>
          <w:numId w:val="63"/>
        </w:numPr>
        <w:spacing w:line="360" w:lineRule="auto"/>
        <w:ind w:left="840" w:hanging="420"/>
        <w:rPr>
          <w:rFonts w:hint="default" w:eastAsia="宋体"/>
          <w:color w:val="auto"/>
          <w:highlight w:val="none"/>
          <w:lang w:val="en-US" w:eastAsia="zh-CN"/>
        </w:rPr>
      </w:pPr>
      <w:r>
        <w:rPr>
          <w:rFonts w:hint="default" w:eastAsia="宋体"/>
          <w:color w:val="auto"/>
          <w:highlight w:val="none"/>
          <w:lang w:val="en-US" w:eastAsia="zh-CN"/>
        </w:rPr>
        <w:t>应对不同级别的数据分配不同的人员进行管理，并授予其所需的最小权限。</w:t>
      </w:r>
    </w:p>
    <w:p>
      <w:pPr>
        <w:pStyle w:val="26"/>
        <w:bidi w:val="0"/>
        <w:outlineLvl w:val="1"/>
        <w:rPr>
          <w:rFonts w:hint="default"/>
          <w:color w:val="auto"/>
          <w:highlight w:val="none"/>
          <w:lang w:val="en-US" w:eastAsia="zh-CN"/>
        </w:rPr>
      </w:pPr>
      <w:bookmarkStart w:id="380" w:name="_Toc1870"/>
      <w:bookmarkStart w:id="381" w:name="_Toc6710"/>
      <w:bookmarkStart w:id="382" w:name="_Toc30325"/>
      <w:bookmarkStart w:id="383" w:name="_Toc23130"/>
      <w:r>
        <w:rPr>
          <w:rFonts w:hint="eastAsia"/>
          <w:color w:val="auto"/>
          <w:highlight w:val="none"/>
          <w:lang w:val="en-US" w:eastAsia="zh-CN"/>
        </w:rPr>
        <w:t>数据分类分级结果定期审核</w:t>
      </w:r>
      <w:bookmarkEnd w:id="380"/>
      <w:bookmarkEnd w:id="381"/>
      <w:bookmarkEnd w:id="382"/>
      <w:bookmarkEnd w:id="383"/>
    </w:p>
    <w:p>
      <w:pPr>
        <w:spacing w:line="360" w:lineRule="auto"/>
        <w:ind w:firstLine="420" w:firstLineChars="200"/>
        <w:rPr>
          <w:rFonts w:hint="eastAsia"/>
          <w:color w:val="auto"/>
          <w:highlight w:val="none"/>
          <w:lang w:val="en-US" w:eastAsia="zh-CN"/>
        </w:rPr>
      </w:pPr>
      <w:r>
        <w:rPr>
          <w:rFonts w:hint="default"/>
          <w:color w:val="auto"/>
          <w:highlight w:val="none"/>
          <w:lang w:val="en-US" w:eastAsia="zh-CN"/>
        </w:rPr>
        <w:t>数据分类分级结果定期审核的目的是为了保证数据分类分级的准确性和科学性，确保分类分级结果能够为业务决策和管理提供支持。</w:t>
      </w:r>
      <w:r>
        <w:rPr>
          <w:rFonts w:hint="eastAsia"/>
          <w:color w:val="auto"/>
          <w:highlight w:val="none"/>
          <w:lang w:val="en-US" w:eastAsia="zh-CN"/>
        </w:rPr>
        <w:t>应在数据级别或类别发生变化时对分类分级结果进行审核，审核要点如下</w:t>
      </w:r>
      <w:r>
        <w:rPr>
          <w:rFonts w:hint="eastAsia" w:ascii="宋体" w:hAnsi="宋体"/>
          <w:color w:val="auto"/>
          <w:highlight w:val="none"/>
          <w:lang w:val="en-US" w:eastAsia="zh-CN"/>
        </w:rPr>
        <w:t>：</w:t>
      </w:r>
    </w:p>
    <w:p>
      <w:pPr>
        <w:numPr>
          <w:ilvl w:val="0"/>
          <w:numId w:val="64"/>
        </w:numPr>
        <w:spacing w:line="360" w:lineRule="auto"/>
        <w:ind w:left="840" w:leftChars="0" w:hanging="420" w:firstLineChars="0"/>
        <w:rPr>
          <w:rFonts w:hint="default"/>
          <w:color w:val="auto"/>
          <w:highlight w:val="none"/>
          <w:lang w:val="en-US" w:eastAsia="zh-CN"/>
        </w:rPr>
      </w:pPr>
      <w:r>
        <w:rPr>
          <w:rFonts w:hint="eastAsia"/>
          <w:color w:val="auto"/>
          <w:highlight w:val="none"/>
          <w:lang w:val="en-US" w:eastAsia="zh-CN"/>
        </w:rPr>
        <w:t>合理性</w:t>
      </w:r>
      <w:r>
        <w:rPr>
          <w:rFonts w:hint="eastAsia" w:ascii="宋体" w:hAnsi="宋体"/>
          <w:color w:val="auto"/>
          <w:highlight w:val="none"/>
          <w:lang w:val="en-US" w:eastAsia="zh-CN"/>
        </w:rPr>
        <w:t>：</w:t>
      </w:r>
      <w:r>
        <w:rPr>
          <w:rFonts w:hint="eastAsia"/>
          <w:color w:val="auto"/>
          <w:highlight w:val="none"/>
          <w:lang w:val="en-US" w:eastAsia="zh-CN"/>
        </w:rPr>
        <w:t>审核数据分类分级结果是否合理，可以将数据分类分级的结果与相关领域的法律法规、标准化文件以及政策文件进行对比，对数据分类分级结果的准确性进行审核。</w:t>
      </w:r>
    </w:p>
    <w:p>
      <w:pPr>
        <w:numPr>
          <w:ilvl w:val="0"/>
          <w:numId w:val="64"/>
        </w:numPr>
        <w:spacing w:line="360" w:lineRule="auto"/>
        <w:ind w:left="840" w:leftChars="0" w:hanging="420" w:firstLineChars="0"/>
        <w:rPr>
          <w:rFonts w:hint="default"/>
          <w:color w:val="auto"/>
          <w:highlight w:val="none"/>
          <w:lang w:val="en-US" w:eastAsia="zh-CN"/>
        </w:rPr>
      </w:pPr>
      <w:r>
        <w:rPr>
          <w:rFonts w:hint="eastAsia"/>
          <w:color w:val="auto"/>
          <w:highlight w:val="none"/>
          <w:lang w:val="en-US" w:eastAsia="zh-CN"/>
        </w:rPr>
        <w:t>完整性</w:t>
      </w:r>
      <w:r>
        <w:rPr>
          <w:rFonts w:hint="eastAsia" w:ascii="宋体" w:hAnsi="宋体"/>
          <w:color w:val="auto"/>
          <w:highlight w:val="none"/>
          <w:lang w:val="en-US" w:eastAsia="zh-CN"/>
        </w:rPr>
        <w:t>：</w:t>
      </w:r>
      <w:r>
        <w:rPr>
          <w:rFonts w:hint="eastAsia"/>
          <w:color w:val="auto"/>
          <w:highlight w:val="none"/>
          <w:lang w:val="en-US" w:eastAsia="zh-CN"/>
        </w:rPr>
        <w:t>审核数据分类分级的结果是否覆盖所有的工业数据。</w:t>
      </w:r>
    </w:p>
    <w:p>
      <w:pPr>
        <w:numPr>
          <w:ilvl w:val="0"/>
          <w:numId w:val="64"/>
        </w:numPr>
        <w:spacing w:line="360" w:lineRule="auto"/>
        <w:ind w:left="840" w:leftChars="0" w:hanging="420" w:firstLineChars="0"/>
        <w:rPr>
          <w:rFonts w:hint="default"/>
          <w:highlight w:val="none"/>
          <w:lang w:val="en-US" w:eastAsia="zh-CN"/>
        </w:rPr>
      </w:pPr>
      <w:r>
        <w:rPr>
          <w:rFonts w:hint="eastAsia"/>
          <w:color w:val="auto"/>
          <w:highlight w:val="none"/>
          <w:lang w:val="en-US" w:eastAsia="zh-CN"/>
        </w:rPr>
        <w:t>一致性</w:t>
      </w:r>
      <w:r>
        <w:rPr>
          <w:rFonts w:hint="eastAsia" w:ascii="宋体" w:hAnsi="宋体"/>
          <w:color w:val="auto"/>
          <w:highlight w:val="none"/>
          <w:lang w:val="en-US" w:eastAsia="zh-CN"/>
        </w:rPr>
        <w:t>：</w:t>
      </w:r>
      <w:r>
        <w:rPr>
          <w:rFonts w:hint="eastAsia"/>
          <w:color w:val="auto"/>
          <w:highlight w:val="none"/>
          <w:lang w:val="en-US" w:eastAsia="zh-CN"/>
        </w:rPr>
        <w:t>审核同一数据集在同一维度中的分类分级结果是否一致。</w:t>
      </w:r>
    </w:p>
    <w:p>
      <w:pPr>
        <w:pStyle w:val="24"/>
        <w:bidi w:val="0"/>
        <w:outlineLvl w:val="0"/>
        <w:rPr>
          <w:rFonts w:hint="default"/>
          <w:color w:val="auto"/>
          <w:highlight w:val="none"/>
          <w:lang w:val="en-US" w:eastAsia="zh-CN"/>
        </w:rPr>
      </w:pPr>
      <w:bookmarkStart w:id="384" w:name="_Toc26042"/>
      <w:bookmarkStart w:id="385" w:name="_Toc26541"/>
      <w:bookmarkStart w:id="386" w:name="_Toc9544"/>
      <w:bookmarkStart w:id="387" w:name="_Toc23051"/>
      <w:bookmarkStart w:id="388" w:name="_Toc19837"/>
      <w:bookmarkStart w:id="389" w:name="_Toc24761"/>
      <w:bookmarkStart w:id="390" w:name="_Toc18823"/>
      <w:r>
        <w:rPr>
          <w:rFonts w:hint="eastAsia"/>
          <w:color w:val="auto"/>
          <w:highlight w:val="none"/>
          <w:lang w:val="en-US" w:eastAsia="zh-CN"/>
        </w:rPr>
        <w:t>分级管理体系</w:t>
      </w:r>
      <w:bookmarkEnd w:id="384"/>
      <w:bookmarkEnd w:id="385"/>
      <w:bookmarkEnd w:id="386"/>
      <w:bookmarkEnd w:id="387"/>
      <w:bookmarkEnd w:id="388"/>
      <w:bookmarkEnd w:id="389"/>
      <w:bookmarkEnd w:id="390"/>
    </w:p>
    <w:p>
      <w:pPr>
        <w:pStyle w:val="26"/>
        <w:bidi w:val="0"/>
        <w:outlineLvl w:val="1"/>
        <w:rPr>
          <w:rFonts w:hint="default"/>
          <w:color w:val="auto"/>
          <w:highlight w:val="none"/>
          <w:lang w:val="en-US" w:eastAsia="zh-CN"/>
        </w:rPr>
      </w:pPr>
      <w:bookmarkStart w:id="391" w:name="_Toc13261"/>
      <w:bookmarkStart w:id="392" w:name="_Toc16073"/>
      <w:bookmarkStart w:id="393" w:name="_Toc15212"/>
      <w:bookmarkStart w:id="394" w:name="_Toc6167"/>
      <w:bookmarkStart w:id="395" w:name="_Toc22636"/>
      <w:bookmarkStart w:id="396" w:name="_Toc11505"/>
      <w:bookmarkStart w:id="397" w:name="_Toc20904"/>
      <w:r>
        <w:rPr>
          <w:rFonts w:hint="eastAsia"/>
          <w:color w:val="auto"/>
          <w:highlight w:val="none"/>
          <w:lang w:val="en-US" w:eastAsia="zh-CN"/>
        </w:rPr>
        <w:t>管理制度</w:t>
      </w:r>
      <w:bookmarkEnd w:id="391"/>
      <w:bookmarkEnd w:id="392"/>
      <w:bookmarkEnd w:id="393"/>
      <w:bookmarkEnd w:id="394"/>
      <w:bookmarkEnd w:id="395"/>
      <w:bookmarkEnd w:id="396"/>
      <w:bookmarkEnd w:id="397"/>
    </w:p>
    <w:p>
      <w:pPr>
        <w:pStyle w:val="27"/>
        <w:bidi w:val="0"/>
        <w:outlineLvl w:val="2"/>
        <w:rPr>
          <w:rFonts w:hint="default"/>
          <w:color w:val="auto"/>
          <w:highlight w:val="none"/>
          <w:lang w:val="en-US" w:eastAsia="zh-CN"/>
        </w:rPr>
      </w:pPr>
      <w:bookmarkStart w:id="398" w:name="_Toc24565"/>
      <w:bookmarkStart w:id="399" w:name="_Toc30451"/>
      <w:bookmarkStart w:id="400" w:name="_Toc9672"/>
      <w:bookmarkStart w:id="401" w:name="_Toc27510"/>
      <w:bookmarkStart w:id="402" w:name="_Toc24678"/>
      <w:bookmarkStart w:id="403" w:name="_Toc24220"/>
      <w:bookmarkStart w:id="404" w:name="_Toc20781"/>
      <w:bookmarkStart w:id="405" w:name="_Toc32122"/>
      <w:r>
        <w:rPr>
          <w:rFonts w:hint="eastAsia"/>
          <w:color w:val="auto"/>
          <w:highlight w:val="none"/>
          <w:lang w:val="en-US" w:eastAsia="zh-CN"/>
        </w:rPr>
        <w:t>基本要求</w:t>
      </w:r>
      <w:bookmarkEnd w:id="398"/>
      <w:bookmarkEnd w:id="399"/>
      <w:bookmarkEnd w:id="400"/>
      <w:bookmarkEnd w:id="401"/>
      <w:bookmarkEnd w:id="402"/>
      <w:bookmarkEnd w:id="403"/>
      <w:bookmarkEnd w:id="404"/>
      <w:bookmarkEnd w:id="405"/>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管理制度基本要求如下</w:t>
      </w:r>
      <w:r>
        <w:rPr>
          <w:rFonts w:hint="eastAsia" w:ascii="宋体" w:hAnsi="宋体"/>
          <w:color w:val="auto"/>
          <w:highlight w:val="none"/>
          <w:lang w:val="en-US" w:eastAsia="zh-CN"/>
        </w:rPr>
        <w:t>：</w:t>
      </w:r>
    </w:p>
    <w:p>
      <w:pPr>
        <w:numPr>
          <w:ilvl w:val="0"/>
          <w:numId w:val="6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应制定数据安全管理工作的总体方针和安全策略，阐明数据安全工作的总体目标、范围、原则和安全框架等。</w:t>
      </w:r>
    </w:p>
    <w:p>
      <w:pPr>
        <w:numPr>
          <w:ilvl w:val="0"/>
          <w:numId w:val="6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应对工业数据安全管理活动中各类管理内容建立相关管理制度。</w:t>
      </w:r>
    </w:p>
    <w:p>
      <w:pPr>
        <w:numPr>
          <w:ilvl w:val="0"/>
          <w:numId w:val="6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应对工业数据管理人员执行的日常管理操作建立操作规程。</w:t>
      </w:r>
    </w:p>
    <w:p>
      <w:pPr>
        <w:numPr>
          <w:ilvl w:val="0"/>
          <w:numId w:val="6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应制定或授权专门的部门或人员负责管理制度的制定。</w:t>
      </w:r>
    </w:p>
    <w:p>
      <w:pPr>
        <w:numPr>
          <w:ilvl w:val="0"/>
          <w:numId w:val="6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管理制度应通过正式、有效的方式发布，并进行版本控制。</w:t>
      </w:r>
    </w:p>
    <w:p>
      <w:pPr>
        <w:numPr>
          <w:ilvl w:val="0"/>
          <w:numId w:val="6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定期或根据需要对管理制度的合理性和适用性进行论证和审定，对存在不足或需要改进的管理制度进行修订。</w:t>
      </w:r>
    </w:p>
    <w:p>
      <w:pPr>
        <w:pStyle w:val="27"/>
        <w:bidi w:val="0"/>
        <w:outlineLvl w:val="2"/>
        <w:rPr>
          <w:rFonts w:hint="default"/>
          <w:color w:val="auto"/>
          <w:highlight w:val="none"/>
          <w:lang w:val="en-US" w:eastAsia="zh-CN"/>
        </w:rPr>
      </w:pPr>
      <w:bookmarkStart w:id="406" w:name="_Toc5892"/>
      <w:bookmarkStart w:id="407" w:name="_Toc8176"/>
      <w:bookmarkStart w:id="408" w:name="_Toc20819"/>
      <w:bookmarkStart w:id="409" w:name="_Toc17671"/>
      <w:bookmarkStart w:id="410" w:name="_Toc31327"/>
      <w:bookmarkStart w:id="411" w:name="_Toc21725"/>
      <w:bookmarkStart w:id="412" w:name="_Toc17429"/>
      <w:bookmarkStart w:id="413" w:name="_Toc32679"/>
      <w:r>
        <w:rPr>
          <w:rFonts w:hint="eastAsia"/>
          <w:color w:val="auto"/>
          <w:highlight w:val="none"/>
          <w:lang w:val="en-US" w:eastAsia="zh-CN"/>
        </w:rPr>
        <w:t>增强要求</w:t>
      </w:r>
      <w:bookmarkEnd w:id="406"/>
      <w:bookmarkEnd w:id="407"/>
      <w:bookmarkEnd w:id="408"/>
      <w:bookmarkEnd w:id="409"/>
      <w:bookmarkEnd w:id="410"/>
      <w:bookmarkEnd w:id="411"/>
      <w:bookmarkEnd w:id="412"/>
      <w:bookmarkEnd w:id="413"/>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管理制度增强要求如下</w:t>
      </w:r>
      <w:r>
        <w:rPr>
          <w:rFonts w:hint="eastAsia" w:ascii="Times New Roman" w:hAnsi="Times New Roman"/>
          <w:color w:val="auto"/>
          <w:highlight w:val="none"/>
          <w:lang w:val="en-US" w:eastAsia="zh-CN"/>
        </w:rPr>
        <w:t>：</w:t>
      </w:r>
    </w:p>
    <w:p>
      <w:pPr>
        <w:numPr>
          <w:ilvl w:val="0"/>
          <w:numId w:val="66"/>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应建立覆盖本单位相关部门的数据安全工作体系，包括数据安全管理责任部门，采购、法务、审计、人力、财务、营销、运维等职能管理部门，以及研发设计、生产制造、运营维护、销售营销等业务部门。</w:t>
      </w:r>
    </w:p>
    <w:p>
      <w:pPr>
        <w:numPr>
          <w:ilvl w:val="0"/>
          <w:numId w:val="66"/>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应建立内部登记、审批机制，明确数据安全授权审批事项、审批部门和审批人等。</w:t>
      </w:r>
    </w:p>
    <w:p>
      <w:pPr>
        <w:pStyle w:val="26"/>
        <w:bidi w:val="0"/>
        <w:outlineLvl w:val="1"/>
        <w:rPr>
          <w:rFonts w:hint="default"/>
          <w:color w:val="auto"/>
          <w:highlight w:val="none"/>
          <w:lang w:val="en-US" w:eastAsia="zh-CN"/>
        </w:rPr>
      </w:pPr>
      <w:bookmarkStart w:id="414" w:name="_Toc5760"/>
      <w:bookmarkStart w:id="415" w:name="_Toc2917"/>
      <w:bookmarkStart w:id="416" w:name="_Toc2488"/>
      <w:bookmarkStart w:id="417" w:name="_Toc5570"/>
      <w:bookmarkStart w:id="418" w:name="_Toc9598"/>
      <w:bookmarkStart w:id="419" w:name="_Toc9628"/>
      <w:bookmarkStart w:id="420" w:name="_Toc21244"/>
      <w:r>
        <w:rPr>
          <w:rFonts w:hint="eastAsia"/>
          <w:color w:val="auto"/>
          <w:highlight w:val="none"/>
          <w:lang w:val="en-US" w:eastAsia="zh-CN"/>
        </w:rPr>
        <w:t>管理机构</w:t>
      </w:r>
      <w:bookmarkEnd w:id="414"/>
      <w:bookmarkEnd w:id="415"/>
      <w:bookmarkEnd w:id="416"/>
      <w:bookmarkEnd w:id="417"/>
      <w:bookmarkEnd w:id="418"/>
      <w:bookmarkEnd w:id="419"/>
      <w:bookmarkEnd w:id="420"/>
    </w:p>
    <w:p>
      <w:pPr>
        <w:pStyle w:val="27"/>
        <w:bidi w:val="0"/>
        <w:outlineLvl w:val="2"/>
        <w:rPr>
          <w:rFonts w:hint="eastAsia"/>
          <w:color w:val="auto"/>
          <w:highlight w:val="none"/>
          <w:lang w:val="en-US" w:eastAsia="zh-CN"/>
        </w:rPr>
      </w:pPr>
      <w:bookmarkStart w:id="421" w:name="_Toc25899"/>
      <w:bookmarkStart w:id="422" w:name="_Toc11007"/>
      <w:bookmarkStart w:id="423" w:name="_Toc19398"/>
      <w:bookmarkStart w:id="424" w:name="_Toc21935"/>
      <w:bookmarkStart w:id="425" w:name="_Toc27883"/>
      <w:bookmarkStart w:id="426" w:name="_Toc5539"/>
      <w:bookmarkStart w:id="427" w:name="_Toc2686"/>
      <w:bookmarkStart w:id="428" w:name="_Toc11615"/>
      <w:bookmarkStart w:id="429" w:name="_Toc31052"/>
      <w:r>
        <w:rPr>
          <w:rFonts w:hint="eastAsia"/>
          <w:color w:val="auto"/>
          <w:highlight w:val="none"/>
          <w:lang w:val="en-US" w:eastAsia="zh-CN"/>
        </w:rPr>
        <w:t>基本要求</w:t>
      </w:r>
      <w:bookmarkEnd w:id="421"/>
      <w:bookmarkEnd w:id="422"/>
      <w:bookmarkEnd w:id="423"/>
      <w:bookmarkEnd w:id="424"/>
      <w:bookmarkEnd w:id="425"/>
      <w:bookmarkEnd w:id="426"/>
      <w:bookmarkEnd w:id="427"/>
      <w:bookmarkEnd w:id="428"/>
      <w:bookmarkEnd w:id="429"/>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管理机构基本要求如下</w:t>
      </w:r>
      <w:r>
        <w:rPr>
          <w:rFonts w:hint="eastAsia" w:ascii="宋体" w:hAnsi="宋体"/>
          <w:color w:val="auto"/>
          <w:highlight w:val="none"/>
          <w:lang w:val="en-US" w:eastAsia="zh-CN"/>
        </w:rPr>
        <w:t>：</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应设置数据安全管理相关部门、岗位，明确相关职责。</w:t>
      </w:r>
    </w:p>
    <w:p>
      <w:pPr>
        <w:pStyle w:val="27"/>
        <w:bidi w:val="0"/>
        <w:outlineLvl w:val="2"/>
        <w:rPr>
          <w:rFonts w:hint="eastAsia"/>
          <w:color w:val="auto"/>
          <w:highlight w:val="none"/>
          <w:lang w:val="en-US" w:eastAsia="zh-CN"/>
        </w:rPr>
      </w:pPr>
      <w:bookmarkStart w:id="430" w:name="_Toc17708"/>
      <w:bookmarkStart w:id="431" w:name="_Toc9129"/>
      <w:bookmarkStart w:id="432" w:name="_Toc17238"/>
      <w:bookmarkStart w:id="433" w:name="_Toc27080"/>
      <w:bookmarkStart w:id="434" w:name="_Toc29922"/>
      <w:bookmarkStart w:id="435" w:name="_Toc13295"/>
      <w:bookmarkStart w:id="436" w:name="_Toc10480"/>
      <w:bookmarkStart w:id="437" w:name="_Toc23859"/>
      <w:bookmarkStart w:id="438" w:name="_Toc579"/>
      <w:r>
        <w:rPr>
          <w:rFonts w:hint="eastAsia"/>
          <w:color w:val="auto"/>
          <w:highlight w:val="none"/>
          <w:lang w:val="en-US" w:eastAsia="zh-CN"/>
        </w:rPr>
        <w:t>增强要求</w:t>
      </w:r>
      <w:bookmarkEnd w:id="430"/>
      <w:bookmarkEnd w:id="431"/>
      <w:bookmarkEnd w:id="432"/>
      <w:bookmarkEnd w:id="433"/>
      <w:bookmarkEnd w:id="434"/>
      <w:bookmarkEnd w:id="435"/>
      <w:bookmarkEnd w:id="436"/>
      <w:bookmarkEnd w:id="437"/>
      <w:bookmarkEnd w:id="438"/>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管理机构增强要求如下</w:t>
      </w:r>
      <w:r>
        <w:rPr>
          <w:rFonts w:hint="eastAsia" w:ascii="宋体" w:hAnsi="宋体"/>
          <w:color w:val="auto"/>
          <w:highlight w:val="none"/>
          <w:lang w:val="en-US" w:eastAsia="zh-CN"/>
        </w:rPr>
        <w:t>：</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应明确工业数据安全管理部门责任，负责统筹开展数据安全管理工作，包括制定数据安全管理制度规范、制定年度数据安全工作计划、协调数据安全管理相关部门建立数据安全防护措施、组织开展数据安全评估、提出数据安全保护的对策建议、监督检查数据安全管理制度规范执行落实情况等。</w:t>
      </w:r>
    </w:p>
    <w:p>
      <w:pPr>
        <w:pStyle w:val="26"/>
        <w:bidi w:val="0"/>
        <w:outlineLvl w:val="1"/>
        <w:rPr>
          <w:rFonts w:hint="default"/>
          <w:color w:val="auto"/>
          <w:highlight w:val="none"/>
          <w:lang w:val="en-US" w:eastAsia="zh-CN"/>
        </w:rPr>
      </w:pPr>
      <w:bookmarkStart w:id="439" w:name="_Toc31494"/>
      <w:bookmarkStart w:id="440" w:name="_Toc12503"/>
      <w:bookmarkStart w:id="441" w:name="_Toc292"/>
      <w:bookmarkStart w:id="442" w:name="_Toc31776"/>
      <w:bookmarkStart w:id="443" w:name="_Toc27019"/>
      <w:bookmarkStart w:id="444" w:name="_Toc12721"/>
      <w:bookmarkStart w:id="445" w:name="_Toc23734"/>
      <w:r>
        <w:rPr>
          <w:rFonts w:hint="eastAsia"/>
          <w:color w:val="auto"/>
          <w:highlight w:val="none"/>
          <w:lang w:val="en-US" w:eastAsia="zh-CN"/>
        </w:rPr>
        <w:t>管理人员</w:t>
      </w:r>
      <w:bookmarkEnd w:id="439"/>
      <w:bookmarkEnd w:id="440"/>
      <w:bookmarkEnd w:id="441"/>
      <w:bookmarkEnd w:id="442"/>
      <w:bookmarkEnd w:id="443"/>
      <w:bookmarkEnd w:id="444"/>
      <w:bookmarkEnd w:id="445"/>
    </w:p>
    <w:p>
      <w:pPr>
        <w:pStyle w:val="27"/>
        <w:bidi w:val="0"/>
        <w:outlineLvl w:val="2"/>
        <w:rPr>
          <w:rFonts w:hint="default"/>
          <w:color w:val="auto"/>
          <w:highlight w:val="none"/>
          <w:lang w:val="en-US" w:eastAsia="zh-CN"/>
        </w:rPr>
      </w:pPr>
      <w:bookmarkStart w:id="446" w:name="_Toc16873"/>
      <w:bookmarkStart w:id="447" w:name="_Toc25389"/>
      <w:bookmarkStart w:id="448" w:name="_Toc21713"/>
      <w:bookmarkStart w:id="449" w:name="_Toc12002"/>
      <w:bookmarkStart w:id="450" w:name="_Toc21796"/>
      <w:bookmarkStart w:id="451" w:name="_Toc13922"/>
      <w:bookmarkStart w:id="452" w:name="_Toc7287"/>
      <w:bookmarkStart w:id="453" w:name="_Toc20744"/>
      <w:bookmarkStart w:id="454" w:name="_Toc10349"/>
      <w:r>
        <w:rPr>
          <w:rFonts w:hint="eastAsia"/>
          <w:color w:val="auto"/>
          <w:highlight w:val="none"/>
          <w:lang w:val="en-US" w:eastAsia="zh-CN"/>
        </w:rPr>
        <w:t>一般数据</w:t>
      </w:r>
      <w:bookmarkEnd w:id="446"/>
      <w:bookmarkEnd w:id="447"/>
      <w:bookmarkEnd w:id="448"/>
      <w:bookmarkEnd w:id="449"/>
      <w:bookmarkEnd w:id="450"/>
      <w:bookmarkEnd w:id="451"/>
      <w:bookmarkEnd w:id="452"/>
      <w:bookmarkEnd w:id="453"/>
      <w:bookmarkEnd w:id="454"/>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一般数据管理人员要求如下。</w:t>
      </w:r>
    </w:p>
    <w:p>
      <w:pPr>
        <w:numPr>
          <w:ilvl w:val="0"/>
          <w:numId w:val="67"/>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应指定或授权专门的部门或人员负责人员录用。</w:t>
      </w:r>
    </w:p>
    <w:p>
      <w:pPr>
        <w:numPr>
          <w:ilvl w:val="0"/>
          <w:numId w:val="67"/>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人员录用时，应对被录用人员的身份、安全背景、专业资格或资质等进行审查。</w:t>
      </w:r>
    </w:p>
    <w:p>
      <w:pPr>
        <w:numPr>
          <w:ilvl w:val="0"/>
          <w:numId w:val="67"/>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人员离岗时应及时终止离岗人员所有的访问权限，取回各种身份证件、钥匙、徽章等以及机构提供的软硬件设备。</w:t>
      </w:r>
    </w:p>
    <w:p>
      <w:pPr>
        <w:numPr>
          <w:ilvl w:val="0"/>
          <w:numId w:val="67"/>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应定期开展数据安全宣传教育与技能培训，提高人员数据安全意识和专业技能。</w:t>
      </w:r>
    </w:p>
    <w:p>
      <w:pPr>
        <w:numPr>
          <w:ilvl w:val="0"/>
          <w:numId w:val="67"/>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应对数据管理人员进行安全意识教育和岗位技能培训，并告知相关的安全责任和惩戒措施。</w:t>
      </w:r>
    </w:p>
    <w:p>
      <w:pPr>
        <w:numPr>
          <w:ilvl w:val="0"/>
          <w:numId w:val="67"/>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应对不同岗位的人员分配不同的访问控制权限（包括内部人员、外部合作人员、运维人员等），加强对数据的访问控制。</w:t>
      </w:r>
    </w:p>
    <w:p>
      <w:pPr>
        <w:numPr>
          <w:ilvl w:val="0"/>
          <w:numId w:val="67"/>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外部人员应在物理访问受控区域前先提出书面申请，获得批准后由专人全程陪同，并登记备案。</w:t>
      </w:r>
    </w:p>
    <w:p>
      <w:pPr>
        <w:numPr>
          <w:ilvl w:val="0"/>
          <w:numId w:val="67"/>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外部人员应在接入受控网络访问系统前先提出书面申请，获得批准后由专人开设账户、分配权限并登记备案。</w:t>
      </w:r>
    </w:p>
    <w:p>
      <w:pPr>
        <w:numPr>
          <w:ilvl w:val="0"/>
          <w:numId w:val="67"/>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外部人员离场后应及时清除其所有的访问权限。</w:t>
      </w:r>
    </w:p>
    <w:p>
      <w:pPr>
        <w:pStyle w:val="27"/>
        <w:bidi w:val="0"/>
        <w:outlineLvl w:val="2"/>
        <w:rPr>
          <w:rFonts w:hint="default"/>
          <w:color w:val="auto"/>
          <w:highlight w:val="none"/>
          <w:lang w:val="en-US" w:eastAsia="zh-CN"/>
        </w:rPr>
      </w:pPr>
      <w:bookmarkStart w:id="455" w:name="_Toc1352"/>
      <w:bookmarkStart w:id="456" w:name="_Toc28512"/>
      <w:bookmarkStart w:id="457" w:name="_Toc27197"/>
      <w:bookmarkStart w:id="458" w:name="_Toc17895"/>
      <w:bookmarkStart w:id="459" w:name="_Toc12719"/>
      <w:bookmarkStart w:id="460" w:name="_Toc32093"/>
      <w:bookmarkStart w:id="461" w:name="_Toc32220"/>
      <w:bookmarkStart w:id="462" w:name="_Toc31757"/>
      <w:bookmarkStart w:id="463" w:name="_Toc5803"/>
      <w:r>
        <w:rPr>
          <w:rFonts w:hint="eastAsia"/>
          <w:color w:val="auto"/>
          <w:highlight w:val="none"/>
          <w:lang w:val="en-US" w:eastAsia="zh-CN"/>
        </w:rPr>
        <w:t>重要数据</w:t>
      </w:r>
      <w:bookmarkEnd w:id="455"/>
      <w:bookmarkEnd w:id="456"/>
      <w:bookmarkEnd w:id="457"/>
      <w:bookmarkEnd w:id="458"/>
      <w:bookmarkEnd w:id="459"/>
      <w:bookmarkEnd w:id="460"/>
      <w:bookmarkEnd w:id="461"/>
      <w:bookmarkEnd w:id="462"/>
      <w:bookmarkEnd w:id="463"/>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重要数据管理人员在</w:t>
      </w:r>
      <w:r>
        <w:rPr>
          <w:rFonts w:hint="eastAsia" w:ascii="宋体" w:hAnsi="宋体" w:eastAsia="宋体" w:cs="宋体"/>
          <w:color w:val="auto"/>
          <w:highlight w:val="none"/>
          <w:lang w:val="en-US" w:eastAsia="zh-CN"/>
        </w:rPr>
        <w:t>8</w:t>
      </w:r>
      <w:r>
        <w:rPr>
          <w:rFonts w:hint="eastAsia"/>
          <w:color w:val="auto"/>
          <w:highlight w:val="none"/>
          <w:lang w:val="en-US" w:eastAsia="zh-CN"/>
        </w:rPr>
        <w:t>.</w:t>
      </w:r>
      <w:r>
        <w:rPr>
          <w:rFonts w:hint="eastAsia" w:ascii="宋体" w:hAnsi="宋体" w:eastAsia="宋体" w:cs="宋体"/>
          <w:color w:val="auto"/>
          <w:highlight w:val="none"/>
          <w:lang w:val="en-US" w:eastAsia="zh-CN"/>
        </w:rPr>
        <w:t>3</w:t>
      </w:r>
      <w:r>
        <w:rPr>
          <w:rFonts w:hint="eastAsia"/>
          <w:color w:val="auto"/>
          <w:highlight w:val="none"/>
          <w:lang w:val="en-US" w:eastAsia="zh-CN"/>
        </w:rPr>
        <w:t>.</w:t>
      </w:r>
      <w:r>
        <w:rPr>
          <w:rFonts w:hint="eastAsia" w:ascii="宋体" w:hAnsi="宋体" w:eastAsia="宋体" w:cs="宋体"/>
          <w:color w:val="auto"/>
          <w:highlight w:val="none"/>
          <w:lang w:val="en-US" w:eastAsia="zh-CN"/>
        </w:rPr>
        <w:t>1</w:t>
      </w:r>
      <w:r>
        <w:rPr>
          <w:rFonts w:hint="eastAsia"/>
          <w:color w:val="auto"/>
          <w:highlight w:val="none"/>
          <w:lang w:val="en-US" w:eastAsia="zh-CN"/>
        </w:rPr>
        <w:t>的基础上还应满足以下要求</w:t>
      </w:r>
      <w:r>
        <w:rPr>
          <w:rFonts w:hint="eastAsia" w:ascii="宋体" w:hAnsi="宋体"/>
          <w:color w:val="auto"/>
          <w:highlight w:val="none"/>
          <w:lang w:val="en-US" w:eastAsia="zh-CN"/>
        </w:rPr>
        <w:t>：</w:t>
      </w:r>
    </w:p>
    <w:p>
      <w:pPr>
        <w:numPr>
          <w:ilvl w:val="0"/>
          <w:numId w:val="68"/>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应强化研发设计、生产制造、运营维护、销售营销、平台运行等部门数据处理关键岗位的管理，将能获知重要数据内容的人员确定为关键岗位人员，明确数据处理行为规范和安全保护责任，签署责任书。</w:t>
      </w:r>
    </w:p>
    <w:p>
      <w:pPr>
        <w:numPr>
          <w:ilvl w:val="0"/>
          <w:numId w:val="68"/>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人员离岗时，应办理严格的调离手续，并承诺调离后的保密义务后方可离开。</w:t>
      </w:r>
    </w:p>
    <w:p>
      <w:pPr>
        <w:numPr>
          <w:ilvl w:val="0"/>
          <w:numId w:val="68"/>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应针对不同岗位制定不同的培训计划，对安全基础知识岗位操作规程等进行培训。并定期对不同岗位的人员进行技能考核。</w:t>
      </w:r>
    </w:p>
    <w:p>
      <w:pPr>
        <w:numPr>
          <w:ilvl w:val="0"/>
          <w:numId w:val="68"/>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获得系统访问授权的外部人员应签署保密协议，不得进行非授权操作，不得复制和泄露任何敏感信息。</w:t>
      </w:r>
    </w:p>
    <w:p>
      <w:pPr>
        <w:numPr>
          <w:ilvl w:val="0"/>
          <w:numId w:val="68"/>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应在数据安全管理责任部门中配备专门的数据安全管理和技术人员，其他部门应按照数据安全职责及分工要求，明确专职或兼职的数据安全管理和技术人员。</w:t>
      </w:r>
    </w:p>
    <w:p>
      <w:pPr>
        <w:numPr>
          <w:ilvl w:val="0"/>
          <w:numId w:val="68"/>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应明确企业数据安全管理责任人，负责指导数据安全管理责任部门、协调各相关部门开展数据安全工作。</w:t>
      </w:r>
    </w:p>
    <w:p>
      <w:pPr>
        <w:pStyle w:val="27"/>
        <w:bidi w:val="0"/>
        <w:outlineLvl w:val="2"/>
        <w:rPr>
          <w:rFonts w:hint="default"/>
          <w:color w:val="auto"/>
          <w:highlight w:val="none"/>
          <w:lang w:val="en-US" w:eastAsia="zh-CN"/>
        </w:rPr>
      </w:pPr>
      <w:bookmarkStart w:id="464" w:name="_Toc5191"/>
      <w:bookmarkStart w:id="465" w:name="_Toc23463"/>
      <w:bookmarkStart w:id="466" w:name="_Toc7445"/>
      <w:bookmarkStart w:id="467" w:name="_Toc22849"/>
      <w:bookmarkStart w:id="468" w:name="_Toc20742"/>
      <w:bookmarkStart w:id="469" w:name="_Toc19677"/>
      <w:bookmarkStart w:id="470" w:name="_Toc17893"/>
      <w:bookmarkStart w:id="471" w:name="_Toc32206"/>
      <w:bookmarkStart w:id="472" w:name="_Toc7728"/>
      <w:r>
        <w:rPr>
          <w:rFonts w:hint="eastAsia"/>
          <w:color w:val="auto"/>
          <w:highlight w:val="none"/>
          <w:lang w:val="en-US" w:eastAsia="zh-CN"/>
        </w:rPr>
        <w:t>核心数据</w:t>
      </w:r>
      <w:bookmarkEnd w:id="464"/>
      <w:bookmarkEnd w:id="465"/>
      <w:bookmarkEnd w:id="466"/>
      <w:bookmarkEnd w:id="467"/>
      <w:bookmarkEnd w:id="468"/>
      <w:bookmarkEnd w:id="469"/>
      <w:bookmarkEnd w:id="470"/>
      <w:bookmarkEnd w:id="471"/>
      <w:bookmarkEnd w:id="472"/>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核心数据管理人员在</w:t>
      </w:r>
      <w:r>
        <w:rPr>
          <w:rFonts w:hint="eastAsia" w:ascii="宋体" w:hAnsi="宋体" w:eastAsia="宋体" w:cs="宋体"/>
          <w:color w:val="auto"/>
          <w:highlight w:val="none"/>
          <w:lang w:val="en-US" w:eastAsia="zh-CN"/>
        </w:rPr>
        <w:t>8</w:t>
      </w:r>
      <w:r>
        <w:rPr>
          <w:rFonts w:hint="eastAsia"/>
          <w:color w:val="auto"/>
          <w:highlight w:val="none"/>
          <w:lang w:val="en-US" w:eastAsia="zh-CN"/>
        </w:rPr>
        <w:t>.</w:t>
      </w:r>
      <w:r>
        <w:rPr>
          <w:rFonts w:hint="eastAsia" w:ascii="宋体" w:hAnsi="宋体" w:eastAsia="宋体" w:cs="宋体"/>
          <w:color w:val="auto"/>
          <w:highlight w:val="none"/>
          <w:lang w:val="en-US" w:eastAsia="zh-CN"/>
        </w:rPr>
        <w:t>3</w:t>
      </w:r>
      <w:r>
        <w:rPr>
          <w:rFonts w:hint="eastAsia"/>
          <w:color w:val="auto"/>
          <w:highlight w:val="none"/>
          <w:lang w:val="en-US" w:eastAsia="zh-CN"/>
        </w:rPr>
        <w:t>.</w:t>
      </w:r>
      <w:r>
        <w:rPr>
          <w:rFonts w:hint="eastAsia" w:ascii="宋体" w:hAnsi="宋体" w:eastAsia="宋体" w:cs="宋体"/>
          <w:color w:val="auto"/>
          <w:highlight w:val="none"/>
          <w:lang w:val="en-US" w:eastAsia="zh-CN"/>
        </w:rPr>
        <w:t>2</w:t>
      </w:r>
      <w:r>
        <w:rPr>
          <w:rFonts w:hint="eastAsia"/>
          <w:color w:val="auto"/>
          <w:highlight w:val="none"/>
          <w:lang w:val="en-US" w:eastAsia="zh-CN"/>
        </w:rPr>
        <w:t>的基础上还应满足以下要求</w:t>
      </w:r>
      <w:r>
        <w:rPr>
          <w:rFonts w:hint="eastAsia" w:ascii="宋体" w:hAnsi="宋体"/>
          <w:color w:val="auto"/>
          <w:highlight w:val="none"/>
          <w:lang w:val="en-US" w:eastAsia="zh-CN"/>
        </w:rPr>
        <w:t>：</w:t>
      </w:r>
    </w:p>
    <w:p>
      <w:pPr>
        <w:numPr>
          <w:ilvl w:val="0"/>
          <w:numId w:val="69"/>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应强化研发设计、生产制造、运营维护、销售营销、平台运行等部门数据处理关键岗位的管理，将能获知核心数据内容的人员确定为关键岗位人员，明确数据处理行为规范和安全保护责任，签署岗位责任协议。</w:t>
      </w:r>
    </w:p>
    <w:p>
      <w:pPr>
        <w:numPr>
          <w:ilvl w:val="0"/>
          <w:numId w:val="69"/>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应从内部人员中选拔从事关键岗位的人员。</w:t>
      </w:r>
    </w:p>
    <w:p>
      <w:pPr>
        <w:numPr>
          <w:ilvl w:val="0"/>
          <w:numId w:val="69"/>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对关键区域或关键系统不允许外部人员访问。</w:t>
      </w:r>
    </w:p>
    <w:p>
      <w:pPr>
        <w:pStyle w:val="26"/>
        <w:bidi w:val="0"/>
        <w:outlineLvl w:val="1"/>
        <w:rPr>
          <w:rFonts w:hint="default"/>
          <w:color w:val="auto"/>
          <w:highlight w:val="none"/>
          <w:lang w:val="en-US" w:eastAsia="zh-CN"/>
        </w:rPr>
      </w:pPr>
      <w:bookmarkStart w:id="473" w:name="_Toc4910"/>
      <w:bookmarkStart w:id="474" w:name="_Toc11008"/>
      <w:bookmarkStart w:id="475" w:name="_Toc30304"/>
      <w:bookmarkStart w:id="476" w:name="_Toc5662"/>
      <w:bookmarkStart w:id="477" w:name="_Toc17975"/>
      <w:bookmarkStart w:id="478" w:name="_Toc13774"/>
      <w:bookmarkStart w:id="479" w:name="_Toc32752"/>
      <w:r>
        <w:rPr>
          <w:rFonts w:hint="eastAsia"/>
          <w:color w:val="auto"/>
          <w:highlight w:val="none"/>
          <w:lang w:val="en-US" w:eastAsia="zh-CN"/>
        </w:rPr>
        <w:t>应急处置</w:t>
      </w:r>
      <w:bookmarkEnd w:id="473"/>
      <w:bookmarkEnd w:id="474"/>
      <w:bookmarkEnd w:id="475"/>
      <w:bookmarkEnd w:id="476"/>
      <w:bookmarkEnd w:id="477"/>
      <w:bookmarkEnd w:id="478"/>
      <w:bookmarkEnd w:id="479"/>
    </w:p>
    <w:p>
      <w:pPr>
        <w:pStyle w:val="27"/>
        <w:bidi w:val="0"/>
        <w:outlineLvl w:val="2"/>
        <w:rPr>
          <w:rFonts w:hint="default"/>
          <w:color w:val="auto"/>
          <w:highlight w:val="none"/>
          <w:lang w:val="en-US" w:eastAsia="zh-CN"/>
        </w:rPr>
      </w:pPr>
      <w:bookmarkStart w:id="480" w:name="_Toc30518"/>
      <w:bookmarkStart w:id="481" w:name="_Toc27689"/>
      <w:bookmarkStart w:id="482" w:name="_Toc5571"/>
      <w:bookmarkStart w:id="483" w:name="_Toc32555"/>
      <w:bookmarkStart w:id="484" w:name="_Toc24979"/>
      <w:bookmarkStart w:id="485" w:name="_Toc20853"/>
      <w:bookmarkStart w:id="486" w:name="_Toc1997"/>
      <w:bookmarkStart w:id="487" w:name="_Toc25561"/>
      <w:bookmarkStart w:id="488" w:name="_Toc6730"/>
      <w:r>
        <w:rPr>
          <w:rFonts w:hint="eastAsia"/>
          <w:color w:val="auto"/>
          <w:highlight w:val="none"/>
          <w:lang w:val="en-US" w:eastAsia="zh-CN"/>
        </w:rPr>
        <w:t>一般数据</w:t>
      </w:r>
      <w:bookmarkEnd w:id="480"/>
      <w:bookmarkEnd w:id="481"/>
      <w:bookmarkEnd w:id="482"/>
      <w:bookmarkEnd w:id="483"/>
      <w:bookmarkEnd w:id="484"/>
      <w:bookmarkEnd w:id="485"/>
      <w:bookmarkEnd w:id="486"/>
      <w:bookmarkEnd w:id="487"/>
      <w:bookmarkEnd w:id="488"/>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一般数据应急处置的要求如下</w:t>
      </w:r>
      <w:r>
        <w:rPr>
          <w:rFonts w:hint="eastAsia" w:ascii="宋体" w:hAnsi="宋体"/>
          <w:color w:val="auto"/>
          <w:highlight w:val="none"/>
          <w:lang w:val="en-US" w:eastAsia="zh-CN"/>
        </w:rPr>
        <w:t>：</w:t>
      </w:r>
    </w:p>
    <w:p>
      <w:pPr>
        <w:numPr>
          <w:ilvl w:val="0"/>
          <w:numId w:val="70"/>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应制定数据安全事件应急预案，包括应急处理流程、系统恢复流程等内容。</w:t>
      </w:r>
    </w:p>
    <w:p>
      <w:pPr>
        <w:numPr>
          <w:ilvl w:val="0"/>
          <w:numId w:val="70"/>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定期组织开展应急预案培训、演练并保存相应的记录。</w:t>
      </w:r>
    </w:p>
    <w:p>
      <w:pPr>
        <w:numPr>
          <w:ilvl w:val="0"/>
          <w:numId w:val="70"/>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应在数据安全事件发生后，第一时间向有关部门报告，按照应急预案开展应急处置。对可能损害用户合法权益的数据安全风险或事件，应告知用户，并提供减轻危害的措施。</w:t>
      </w:r>
    </w:p>
    <w:p>
      <w:pPr>
        <w:numPr>
          <w:ilvl w:val="0"/>
          <w:numId w:val="70"/>
        </w:numPr>
        <w:spacing w:line="360" w:lineRule="auto"/>
        <w:ind w:left="840" w:leftChars="0" w:hanging="420" w:firstLineChars="0"/>
        <w:rPr>
          <w:rFonts w:hint="default"/>
          <w:color w:val="auto"/>
          <w:highlight w:val="none"/>
          <w:lang w:val="en-US" w:eastAsia="zh-CN"/>
        </w:rPr>
      </w:pPr>
      <w:r>
        <w:rPr>
          <w:rFonts w:hint="eastAsia"/>
          <w:color w:val="auto"/>
          <w:highlight w:val="none"/>
          <w:lang w:val="en-US" w:eastAsia="zh-CN"/>
        </w:rPr>
        <w:t>数据安全事件处置完成后，应在规定期限内形成总结报告，每年向有关部门报告数据安全事件处置情况。总结报告内容包括事件原因、事件后果、影响范围、事件责任、处置过程和结果、工作经验等。</w:t>
      </w:r>
    </w:p>
    <w:p>
      <w:pPr>
        <w:pStyle w:val="27"/>
        <w:bidi w:val="0"/>
        <w:outlineLvl w:val="2"/>
        <w:rPr>
          <w:rFonts w:hint="default"/>
          <w:color w:val="auto"/>
          <w:highlight w:val="none"/>
          <w:lang w:val="en-US" w:eastAsia="zh-CN"/>
        </w:rPr>
      </w:pPr>
      <w:bookmarkStart w:id="489" w:name="_Toc13283"/>
      <w:bookmarkStart w:id="490" w:name="_Toc1695"/>
      <w:bookmarkStart w:id="491" w:name="_Toc26621"/>
      <w:bookmarkStart w:id="492" w:name="_Toc32353"/>
      <w:bookmarkStart w:id="493" w:name="_Toc6097"/>
      <w:bookmarkStart w:id="494" w:name="_Toc28555"/>
      <w:bookmarkStart w:id="495" w:name="_Toc8291"/>
      <w:bookmarkStart w:id="496" w:name="_Toc13346"/>
      <w:bookmarkStart w:id="497" w:name="_Toc13981"/>
      <w:r>
        <w:rPr>
          <w:rFonts w:hint="eastAsia"/>
          <w:color w:val="auto"/>
          <w:highlight w:val="none"/>
          <w:lang w:val="en-US" w:eastAsia="zh-CN"/>
        </w:rPr>
        <w:t>重要数据</w:t>
      </w:r>
      <w:bookmarkEnd w:id="489"/>
      <w:bookmarkEnd w:id="490"/>
      <w:bookmarkEnd w:id="491"/>
      <w:bookmarkEnd w:id="492"/>
      <w:bookmarkEnd w:id="493"/>
      <w:bookmarkEnd w:id="494"/>
      <w:bookmarkEnd w:id="495"/>
      <w:bookmarkEnd w:id="496"/>
      <w:bookmarkEnd w:id="497"/>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重要数据应急处置在</w:t>
      </w:r>
      <w:r>
        <w:rPr>
          <w:rFonts w:hint="eastAsia" w:ascii="宋体" w:hAnsi="宋体" w:eastAsia="宋体" w:cs="宋体"/>
          <w:color w:val="auto"/>
          <w:highlight w:val="none"/>
          <w:lang w:val="en-US" w:eastAsia="zh-CN"/>
        </w:rPr>
        <w:t>8</w:t>
      </w:r>
      <w:r>
        <w:rPr>
          <w:rFonts w:hint="eastAsia"/>
          <w:color w:val="auto"/>
          <w:highlight w:val="none"/>
          <w:lang w:val="en-US" w:eastAsia="zh-CN"/>
        </w:rPr>
        <w:t>.</w:t>
      </w:r>
      <w:r>
        <w:rPr>
          <w:rFonts w:hint="eastAsia" w:ascii="宋体" w:hAnsi="宋体" w:eastAsia="宋体" w:cs="宋体"/>
          <w:color w:val="auto"/>
          <w:highlight w:val="none"/>
          <w:lang w:val="en-US" w:eastAsia="zh-CN"/>
        </w:rPr>
        <w:t>4</w:t>
      </w:r>
      <w:r>
        <w:rPr>
          <w:rFonts w:hint="eastAsia"/>
          <w:color w:val="auto"/>
          <w:highlight w:val="none"/>
          <w:lang w:val="en-US" w:eastAsia="zh-CN"/>
        </w:rPr>
        <w:t>.</w:t>
      </w:r>
      <w:r>
        <w:rPr>
          <w:rFonts w:hint="eastAsia" w:ascii="宋体" w:hAnsi="宋体" w:eastAsia="宋体" w:cs="宋体"/>
          <w:color w:val="auto"/>
          <w:highlight w:val="none"/>
          <w:lang w:val="en-US" w:eastAsia="zh-CN"/>
        </w:rPr>
        <w:t>1</w:t>
      </w:r>
      <w:r>
        <w:rPr>
          <w:rFonts w:hint="eastAsia"/>
          <w:color w:val="auto"/>
          <w:highlight w:val="none"/>
          <w:lang w:val="en-US" w:eastAsia="zh-CN"/>
        </w:rPr>
        <w:t>的基础上还应满足以下要求</w:t>
      </w:r>
      <w:r>
        <w:rPr>
          <w:rFonts w:hint="eastAsia" w:ascii="宋体" w:hAnsi="宋体"/>
          <w:color w:val="auto"/>
          <w:highlight w:val="none"/>
          <w:lang w:val="en-US" w:eastAsia="zh-CN"/>
        </w:rPr>
        <w:t>：</w:t>
      </w:r>
    </w:p>
    <w:p>
      <w:pPr>
        <w:numPr>
          <w:ilvl w:val="0"/>
          <w:numId w:val="71"/>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应规定统一的应急预案框架，包括启动预案的条件、应急组织构成、应急资源保障、事后教育和培训等内容。</w:t>
      </w:r>
    </w:p>
    <w:p>
      <w:pPr>
        <w:numPr>
          <w:ilvl w:val="0"/>
          <w:numId w:val="71"/>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应定期对原有的应急预案重新评估，修订完善。</w:t>
      </w:r>
    </w:p>
    <w:p>
      <w:pPr>
        <w:pStyle w:val="27"/>
        <w:bidi w:val="0"/>
        <w:outlineLvl w:val="2"/>
        <w:rPr>
          <w:rFonts w:hint="default"/>
          <w:color w:val="auto"/>
          <w:highlight w:val="none"/>
          <w:lang w:val="en-US" w:eastAsia="zh-CN"/>
        </w:rPr>
      </w:pPr>
      <w:bookmarkStart w:id="498" w:name="_Toc30334"/>
      <w:bookmarkStart w:id="499" w:name="_Toc17260"/>
      <w:bookmarkStart w:id="500" w:name="_Toc8929"/>
      <w:bookmarkStart w:id="501" w:name="_Toc12157"/>
      <w:bookmarkStart w:id="502" w:name="_Toc7153"/>
      <w:bookmarkStart w:id="503" w:name="_Toc29595"/>
      <w:bookmarkStart w:id="504" w:name="_Toc11499"/>
      <w:bookmarkStart w:id="505" w:name="_Toc19760"/>
      <w:bookmarkStart w:id="506" w:name="_Toc23369"/>
      <w:r>
        <w:rPr>
          <w:rFonts w:hint="eastAsia"/>
          <w:color w:val="auto"/>
          <w:highlight w:val="none"/>
          <w:lang w:val="en-US" w:eastAsia="zh-CN"/>
        </w:rPr>
        <w:t>核心数据</w:t>
      </w:r>
      <w:bookmarkEnd w:id="498"/>
      <w:bookmarkEnd w:id="499"/>
      <w:bookmarkEnd w:id="500"/>
      <w:bookmarkEnd w:id="501"/>
      <w:bookmarkEnd w:id="502"/>
      <w:bookmarkEnd w:id="503"/>
      <w:bookmarkEnd w:id="504"/>
      <w:bookmarkEnd w:id="505"/>
      <w:bookmarkEnd w:id="506"/>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核心数据应急处置在</w:t>
      </w:r>
      <w:r>
        <w:rPr>
          <w:rFonts w:hint="eastAsia" w:ascii="宋体" w:hAnsi="宋体" w:eastAsia="宋体" w:cs="宋体"/>
          <w:color w:val="auto"/>
          <w:highlight w:val="none"/>
          <w:lang w:val="en-US" w:eastAsia="zh-CN"/>
        </w:rPr>
        <w:t>8</w:t>
      </w:r>
      <w:r>
        <w:rPr>
          <w:rFonts w:hint="eastAsia"/>
          <w:color w:val="auto"/>
          <w:highlight w:val="none"/>
          <w:lang w:val="en-US" w:eastAsia="zh-CN"/>
        </w:rPr>
        <w:t>.</w:t>
      </w:r>
      <w:r>
        <w:rPr>
          <w:rFonts w:hint="eastAsia" w:ascii="宋体" w:hAnsi="宋体" w:eastAsia="宋体" w:cs="宋体"/>
          <w:color w:val="auto"/>
          <w:highlight w:val="none"/>
          <w:lang w:val="en-US" w:eastAsia="zh-CN"/>
        </w:rPr>
        <w:t>4</w:t>
      </w:r>
      <w:r>
        <w:rPr>
          <w:rFonts w:hint="eastAsia"/>
          <w:color w:val="auto"/>
          <w:highlight w:val="none"/>
          <w:lang w:val="en-US" w:eastAsia="zh-CN"/>
        </w:rPr>
        <w:t>.</w:t>
      </w:r>
      <w:r>
        <w:rPr>
          <w:rFonts w:hint="eastAsia" w:ascii="宋体" w:hAnsi="宋体" w:eastAsia="宋体" w:cs="宋体"/>
          <w:color w:val="auto"/>
          <w:highlight w:val="none"/>
          <w:lang w:val="en-US" w:eastAsia="zh-CN"/>
        </w:rPr>
        <w:t>2</w:t>
      </w:r>
      <w:r>
        <w:rPr>
          <w:rFonts w:hint="eastAsia"/>
          <w:color w:val="auto"/>
          <w:highlight w:val="none"/>
          <w:lang w:val="en-US" w:eastAsia="zh-CN"/>
        </w:rPr>
        <w:t>的基础上还应满足以下要求</w:t>
      </w:r>
      <w:r>
        <w:rPr>
          <w:rFonts w:hint="eastAsia" w:ascii="宋体" w:hAnsi="宋体"/>
          <w:color w:val="auto"/>
          <w:highlight w:val="none"/>
          <w:lang w:val="en-US" w:eastAsia="zh-CN"/>
        </w:rPr>
        <w:t>：</w:t>
      </w:r>
    </w:p>
    <w:p>
      <w:pPr>
        <w:spacing w:line="360" w:lineRule="auto"/>
        <w:ind w:firstLine="420" w:firstLineChars="200"/>
        <w:rPr>
          <w:rFonts w:hint="default"/>
          <w:highlight w:val="none"/>
          <w:lang w:val="en-US" w:eastAsia="zh-CN"/>
        </w:rPr>
      </w:pPr>
      <w:r>
        <w:rPr>
          <w:rFonts w:hint="eastAsia"/>
          <w:color w:val="auto"/>
          <w:highlight w:val="none"/>
          <w:lang w:val="en-US" w:eastAsia="zh-CN"/>
        </w:rPr>
        <w:t>应建立重大安全事件的跨单位联合应急预案，并定期进行应急预案的演练。</w:t>
      </w:r>
    </w:p>
    <w:p>
      <w:pPr>
        <w:pStyle w:val="24"/>
        <w:bidi w:val="0"/>
        <w:outlineLvl w:val="0"/>
        <w:rPr>
          <w:rFonts w:hint="default"/>
          <w:color w:val="auto"/>
          <w:highlight w:val="none"/>
          <w:lang w:val="en-US" w:eastAsia="zh-CN"/>
        </w:rPr>
      </w:pPr>
      <w:bookmarkStart w:id="507" w:name="_Toc22403"/>
      <w:bookmarkStart w:id="508" w:name="_Toc28786"/>
      <w:bookmarkStart w:id="509" w:name="_Toc21098"/>
      <w:bookmarkStart w:id="510" w:name="_Toc26431"/>
      <w:bookmarkStart w:id="511" w:name="_Toc4305"/>
      <w:bookmarkStart w:id="512" w:name="_Toc26034"/>
      <w:bookmarkStart w:id="513" w:name="_Toc19767"/>
      <w:bookmarkStart w:id="514" w:name="_Toc31"/>
      <w:bookmarkStart w:id="515" w:name="_Toc16938"/>
      <w:r>
        <w:rPr>
          <w:rFonts w:hint="eastAsia"/>
          <w:color w:val="auto"/>
          <w:highlight w:val="none"/>
          <w:lang w:val="en-US" w:eastAsia="zh-CN"/>
        </w:rPr>
        <w:t>分级技术体系</w:t>
      </w:r>
      <w:bookmarkEnd w:id="507"/>
      <w:bookmarkEnd w:id="508"/>
      <w:bookmarkEnd w:id="509"/>
      <w:bookmarkEnd w:id="510"/>
      <w:bookmarkEnd w:id="511"/>
      <w:bookmarkEnd w:id="512"/>
      <w:bookmarkEnd w:id="513"/>
      <w:bookmarkEnd w:id="514"/>
      <w:bookmarkEnd w:id="515"/>
    </w:p>
    <w:p>
      <w:pPr>
        <w:pStyle w:val="26"/>
        <w:bidi w:val="0"/>
        <w:outlineLvl w:val="1"/>
        <w:rPr>
          <w:rFonts w:hint="default"/>
          <w:color w:val="auto"/>
          <w:highlight w:val="none"/>
          <w:lang w:val="en-US" w:eastAsia="zh-CN"/>
        </w:rPr>
      </w:pPr>
      <w:bookmarkStart w:id="516" w:name="_Toc8111"/>
      <w:bookmarkStart w:id="517" w:name="_Toc26403"/>
      <w:bookmarkStart w:id="518" w:name="_Toc27449"/>
      <w:bookmarkStart w:id="519" w:name="_Toc30828"/>
      <w:r>
        <w:rPr>
          <w:rFonts w:hint="eastAsia"/>
          <w:color w:val="auto"/>
          <w:highlight w:val="none"/>
          <w:lang w:val="en-US" w:eastAsia="zh-CN"/>
        </w:rPr>
        <w:t>工业数据采集</w:t>
      </w:r>
      <w:bookmarkEnd w:id="516"/>
      <w:bookmarkEnd w:id="517"/>
      <w:bookmarkEnd w:id="518"/>
      <w:bookmarkEnd w:id="519"/>
    </w:p>
    <w:p>
      <w:pPr>
        <w:pStyle w:val="27"/>
        <w:bidi w:val="0"/>
        <w:outlineLvl w:val="2"/>
        <w:rPr>
          <w:rFonts w:hint="default"/>
          <w:color w:val="auto"/>
          <w:highlight w:val="none"/>
          <w:lang w:val="en-US" w:eastAsia="zh-CN"/>
        </w:rPr>
      </w:pPr>
      <w:bookmarkStart w:id="520" w:name="_Toc8915"/>
      <w:bookmarkStart w:id="521" w:name="_Toc31512"/>
      <w:bookmarkStart w:id="522" w:name="_Toc10112"/>
      <w:bookmarkStart w:id="523" w:name="_Toc11527"/>
      <w:bookmarkStart w:id="524" w:name="_Toc19662"/>
      <w:bookmarkStart w:id="525" w:name="_Toc3172"/>
      <w:bookmarkStart w:id="526" w:name="_Toc23240"/>
      <w:bookmarkStart w:id="527" w:name="_Toc29507"/>
      <w:bookmarkStart w:id="528" w:name="_Toc15191"/>
      <w:r>
        <w:rPr>
          <w:rFonts w:hint="eastAsia"/>
          <w:color w:val="auto"/>
          <w:highlight w:val="none"/>
          <w:lang w:val="en-US" w:eastAsia="zh-CN"/>
        </w:rPr>
        <w:t>一般数据</w:t>
      </w:r>
      <w:bookmarkEnd w:id="520"/>
      <w:bookmarkEnd w:id="521"/>
      <w:bookmarkEnd w:id="522"/>
      <w:bookmarkEnd w:id="523"/>
      <w:bookmarkEnd w:id="524"/>
      <w:bookmarkEnd w:id="525"/>
      <w:bookmarkEnd w:id="526"/>
      <w:bookmarkEnd w:id="527"/>
      <w:bookmarkEnd w:id="528"/>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一般数据采集的安全防护要求如下</w:t>
      </w:r>
      <w:r>
        <w:rPr>
          <w:rFonts w:hint="eastAsia" w:ascii="宋体" w:hAnsi="宋体"/>
          <w:color w:val="auto"/>
          <w:highlight w:val="none"/>
          <w:lang w:val="en-US" w:eastAsia="zh-CN"/>
        </w:rPr>
        <w:t>：</w:t>
      </w:r>
    </w:p>
    <w:p>
      <w:pPr>
        <w:numPr>
          <w:ilvl w:val="0"/>
          <w:numId w:val="7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工业数据采集应符合“合法、正当、必要”原则。</w:t>
      </w:r>
    </w:p>
    <w:p>
      <w:pPr>
        <w:numPr>
          <w:ilvl w:val="0"/>
          <w:numId w:val="72"/>
        </w:numPr>
        <w:spacing w:line="360" w:lineRule="auto"/>
        <w:ind w:left="840" w:hanging="420"/>
        <w:rPr>
          <w:rFonts w:hint="eastAsia"/>
          <w:color w:val="auto"/>
          <w:highlight w:val="none"/>
          <w:lang w:val="en-US" w:eastAsia="zh-CN"/>
        </w:rPr>
      </w:pPr>
      <w:r>
        <w:rPr>
          <w:rFonts w:hint="eastAsia"/>
          <w:color w:val="auto"/>
          <w:highlight w:val="none"/>
          <w:lang w:val="en-US" w:eastAsia="zh-CN"/>
        </w:rPr>
        <w:t>工业数据采集设备应符合安全认证，采集流程和方式应符合相应要求。</w:t>
      </w:r>
    </w:p>
    <w:p>
      <w:pPr>
        <w:numPr>
          <w:ilvl w:val="0"/>
          <w:numId w:val="7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采取必要的措施保障个人数据和重要数据的安全，工业数据采集过程中，对数据主体合法权益造成的损害承担责任。</w:t>
      </w:r>
    </w:p>
    <w:p>
      <w:pPr>
        <w:numPr>
          <w:ilvl w:val="0"/>
          <w:numId w:val="7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只采集满足数据主体授权同意的目的所需的最少数据类型和数量。</w:t>
      </w:r>
    </w:p>
    <w:p>
      <w:pPr>
        <w:numPr>
          <w:ilvl w:val="0"/>
          <w:numId w:val="7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以明确、易懂和合理的方式公开采集数据的范围、目的、规则等，并接受外部监督。</w:t>
      </w:r>
    </w:p>
    <w:p>
      <w:pPr>
        <w:numPr>
          <w:ilvl w:val="0"/>
          <w:numId w:val="7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工业数据采集过程中，应加强对数据源鉴别。</w:t>
      </w:r>
    </w:p>
    <w:p>
      <w:pPr>
        <w:numPr>
          <w:ilvl w:val="0"/>
          <w:numId w:val="7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设立负责数据源鉴别和记录的岗位和人员，对采集的数据源进行鉴别和记录。</w:t>
      </w:r>
    </w:p>
    <w:p>
      <w:pPr>
        <w:numPr>
          <w:ilvl w:val="0"/>
          <w:numId w:val="7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制定数据源管理的制度规范，定义数据溯源安全策略和溯源数据格式等规范，明确提出对数据源进行鉴别和记录的要求。</w:t>
      </w:r>
    </w:p>
    <w:p>
      <w:pPr>
        <w:numPr>
          <w:ilvl w:val="0"/>
          <w:numId w:val="7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采取技术手段对外部收集的数据和数据源进行识别和记录。</w:t>
      </w:r>
    </w:p>
    <w:p>
      <w:pPr>
        <w:numPr>
          <w:ilvl w:val="0"/>
          <w:numId w:val="7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对关键溯源数据进行备份，并采取技术手段对溯源数据进行安全保护。</w:t>
      </w:r>
    </w:p>
    <w:p>
      <w:pPr>
        <w:numPr>
          <w:ilvl w:val="0"/>
          <w:numId w:val="7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通过身份鉴别、数据源认证等安全机制确保数据来源的可靠性。</w:t>
      </w:r>
    </w:p>
    <w:p>
      <w:pPr>
        <w:numPr>
          <w:ilvl w:val="0"/>
          <w:numId w:val="72"/>
        </w:numPr>
        <w:spacing w:line="360" w:lineRule="auto"/>
        <w:ind w:left="840" w:leftChars="0" w:hanging="420" w:firstLineChars="0"/>
        <w:rPr>
          <w:rFonts w:hint="default"/>
          <w:color w:val="auto"/>
          <w:highlight w:val="none"/>
          <w:lang w:val="en-US" w:eastAsia="zh-CN"/>
        </w:rPr>
      </w:pPr>
      <w:r>
        <w:rPr>
          <w:rFonts w:hint="eastAsia"/>
          <w:color w:val="auto"/>
          <w:highlight w:val="none"/>
          <w:lang w:val="en-US" w:eastAsia="zh-CN"/>
        </w:rPr>
        <w:t>工业数据采集过程中，应加强对数据的质量管理，数据的质量应从真实性、完整性、规范性、一致性、准确性、唯一性、关联性、时效性等维度进行衡量。</w:t>
      </w:r>
    </w:p>
    <w:p>
      <w:pPr>
        <w:numPr>
          <w:ilvl w:val="0"/>
          <w:numId w:val="7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工业数据采集时应标记数据的类别级别。</w:t>
      </w:r>
    </w:p>
    <w:p>
      <w:pPr>
        <w:pStyle w:val="27"/>
        <w:bidi w:val="0"/>
        <w:outlineLvl w:val="2"/>
        <w:rPr>
          <w:rFonts w:hint="default"/>
          <w:color w:val="auto"/>
          <w:highlight w:val="none"/>
          <w:lang w:val="en-US" w:eastAsia="zh-CN"/>
        </w:rPr>
      </w:pPr>
      <w:bookmarkStart w:id="529" w:name="_Toc26485"/>
      <w:bookmarkStart w:id="530" w:name="_Toc1520"/>
      <w:bookmarkStart w:id="531" w:name="_Toc5441"/>
      <w:bookmarkStart w:id="532" w:name="_Toc28186"/>
      <w:bookmarkStart w:id="533" w:name="_Toc15516"/>
      <w:bookmarkStart w:id="534" w:name="_Toc28236"/>
      <w:bookmarkStart w:id="535" w:name="_Toc23073"/>
      <w:bookmarkStart w:id="536" w:name="_Toc30757"/>
      <w:bookmarkStart w:id="537" w:name="_Toc18883"/>
      <w:r>
        <w:rPr>
          <w:rFonts w:hint="eastAsia"/>
          <w:color w:val="auto"/>
          <w:highlight w:val="none"/>
          <w:lang w:val="en-US" w:eastAsia="zh-CN"/>
        </w:rPr>
        <w:t>重要数据</w:t>
      </w:r>
      <w:bookmarkEnd w:id="529"/>
      <w:bookmarkEnd w:id="530"/>
      <w:bookmarkEnd w:id="531"/>
      <w:bookmarkEnd w:id="532"/>
      <w:bookmarkEnd w:id="533"/>
      <w:bookmarkEnd w:id="534"/>
      <w:bookmarkEnd w:id="535"/>
      <w:bookmarkEnd w:id="536"/>
      <w:bookmarkEnd w:id="537"/>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重要数据采集在</w:t>
      </w:r>
      <w:r>
        <w:rPr>
          <w:rFonts w:hint="eastAsia" w:ascii="宋体" w:hAnsi="宋体" w:eastAsia="宋体" w:cs="宋体"/>
          <w:color w:val="auto"/>
          <w:highlight w:val="none"/>
          <w:lang w:val="en-US" w:eastAsia="zh-CN"/>
        </w:rPr>
        <w:t>9</w:t>
      </w:r>
      <w:r>
        <w:rPr>
          <w:rFonts w:hint="eastAsia"/>
          <w:color w:val="auto"/>
          <w:highlight w:val="none"/>
          <w:lang w:val="en-US" w:eastAsia="zh-CN"/>
        </w:rPr>
        <w:t>.</w:t>
      </w:r>
      <w:r>
        <w:rPr>
          <w:rFonts w:hint="eastAsia" w:ascii="宋体" w:hAnsi="宋体" w:eastAsia="宋体" w:cs="宋体"/>
          <w:color w:val="auto"/>
          <w:highlight w:val="none"/>
          <w:lang w:val="en-US" w:eastAsia="zh-CN"/>
        </w:rPr>
        <w:t>1</w:t>
      </w:r>
      <w:r>
        <w:rPr>
          <w:rFonts w:hint="eastAsia"/>
          <w:color w:val="auto"/>
          <w:highlight w:val="none"/>
          <w:lang w:val="en-US" w:eastAsia="zh-CN"/>
        </w:rPr>
        <w:t>.</w:t>
      </w:r>
      <w:r>
        <w:rPr>
          <w:rFonts w:hint="eastAsia" w:ascii="宋体" w:hAnsi="宋体" w:eastAsia="宋体" w:cs="宋体"/>
          <w:color w:val="auto"/>
          <w:highlight w:val="none"/>
          <w:lang w:val="en-US" w:eastAsia="zh-CN"/>
        </w:rPr>
        <w:t>1</w:t>
      </w:r>
      <w:r>
        <w:rPr>
          <w:rFonts w:hint="eastAsia"/>
          <w:color w:val="auto"/>
          <w:highlight w:val="none"/>
          <w:lang w:val="en-US" w:eastAsia="zh-CN"/>
        </w:rPr>
        <w:t>的基础上还应满足以下要求</w:t>
      </w:r>
      <w:r>
        <w:rPr>
          <w:rFonts w:hint="eastAsia" w:ascii="宋体" w:hAnsi="宋体"/>
          <w:color w:val="auto"/>
          <w:highlight w:val="none"/>
          <w:lang w:val="en-US" w:eastAsia="zh-CN"/>
        </w:rPr>
        <w:t>：</w:t>
      </w:r>
    </w:p>
    <w:p>
      <w:pPr>
        <w:numPr>
          <w:ilvl w:val="0"/>
          <w:numId w:val="73"/>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根据工业数据采集需求，应明确采集目的、方式、数量、用途、获取源、接收方、范围、频率和周期等，确立工业数据采集规则，保障采集的数据的安全可用。</w:t>
      </w:r>
    </w:p>
    <w:p>
      <w:pPr>
        <w:numPr>
          <w:ilvl w:val="0"/>
          <w:numId w:val="73"/>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在工业数据采集前，应对工业数据采集所涉及的软硬件工具、设备、系统、平台、接口以及采集技术等，采取必要的测试、认证、鉴权等措施，保证工业数据采集的合规性和执行上的一致性。</w:t>
      </w:r>
    </w:p>
    <w:p>
      <w:pPr>
        <w:numPr>
          <w:ilvl w:val="0"/>
          <w:numId w:val="73"/>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应对工业数据采集的时间、范围、类型、数量、频度、流向、级别等信息进行记录和审计，避免出现超范围工业数据采集活动。</w:t>
      </w:r>
    </w:p>
    <w:p>
      <w:pPr>
        <w:numPr>
          <w:ilvl w:val="0"/>
          <w:numId w:val="72"/>
        </w:numPr>
        <w:spacing w:line="360" w:lineRule="auto"/>
        <w:ind w:left="840" w:hanging="420"/>
        <w:rPr>
          <w:rFonts w:hint="eastAsia"/>
          <w:color w:val="auto"/>
          <w:highlight w:val="none"/>
          <w:lang w:val="en-US" w:eastAsia="zh-CN"/>
        </w:rPr>
      </w:pPr>
      <w:r>
        <w:rPr>
          <w:rFonts w:hint="eastAsia"/>
          <w:color w:val="auto"/>
          <w:highlight w:val="none"/>
          <w:lang w:val="en-US" w:eastAsia="zh-CN"/>
        </w:rPr>
        <w:t>应采取加密方式对数据进行保护。</w:t>
      </w:r>
    </w:p>
    <w:p>
      <w:pPr>
        <w:numPr>
          <w:ilvl w:val="0"/>
          <w:numId w:val="73"/>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应具备对工业数据采集行为进行监测的技术能力，并能够在发现异常时进行告警。</w:t>
      </w:r>
    </w:p>
    <w:p>
      <w:pPr>
        <w:numPr>
          <w:ilvl w:val="0"/>
          <w:numId w:val="73"/>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通过间接途径获取数据的，应与数据提供方通过签署相关协议、数据源合法性书面承诺等方式，明确双方法律责任。</w:t>
      </w:r>
    </w:p>
    <w:p>
      <w:pPr>
        <w:numPr>
          <w:ilvl w:val="0"/>
          <w:numId w:val="73"/>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在工业数据采集后，数据源及流转中间设备应删除相关数据，不应私自留存。</w:t>
      </w:r>
    </w:p>
    <w:p>
      <w:pPr>
        <w:pStyle w:val="27"/>
        <w:bidi w:val="0"/>
        <w:outlineLvl w:val="2"/>
        <w:rPr>
          <w:rFonts w:hint="default"/>
          <w:color w:val="auto"/>
          <w:highlight w:val="none"/>
          <w:lang w:val="en-US" w:eastAsia="zh-CN"/>
        </w:rPr>
      </w:pPr>
      <w:bookmarkStart w:id="538" w:name="_Toc5532"/>
      <w:bookmarkStart w:id="539" w:name="_Toc320"/>
      <w:bookmarkStart w:id="540" w:name="_Toc925"/>
      <w:bookmarkStart w:id="541" w:name="_Toc31409"/>
      <w:bookmarkStart w:id="542" w:name="_Toc2771"/>
      <w:bookmarkStart w:id="543" w:name="_Toc14227"/>
      <w:bookmarkStart w:id="544" w:name="_Toc19909"/>
      <w:bookmarkStart w:id="545" w:name="_Toc27688"/>
      <w:bookmarkStart w:id="546" w:name="_Toc17859"/>
      <w:r>
        <w:rPr>
          <w:rFonts w:hint="eastAsia"/>
          <w:color w:val="auto"/>
          <w:highlight w:val="none"/>
          <w:lang w:val="en-US" w:eastAsia="zh-CN"/>
        </w:rPr>
        <w:t>核心数据</w:t>
      </w:r>
      <w:bookmarkEnd w:id="538"/>
      <w:bookmarkEnd w:id="539"/>
      <w:bookmarkEnd w:id="540"/>
      <w:bookmarkEnd w:id="541"/>
      <w:bookmarkEnd w:id="542"/>
      <w:bookmarkEnd w:id="543"/>
      <w:bookmarkEnd w:id="544"/>
      <w:bookmarkEnd w:id="545"/>
      <w:bookmarkEnd w:id="546"/>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核心数据采集在</w:t>
      </w:r>
      <w:r>
        <w:rPr>
          <w:rFonts w:hint="eastAsia" w:ascii="宋体" w:hAnsi="宋体" w:eastAsia="宋体" w:cs="宋体"/>
          <w:color w:val="auto"/>
          <w:highlight w:val="none"/>
          <w:lang w:val="en-US" w:eastAsia="zh-CN"/>
        </w:rPr>
        <w:t>9</w:t>
      </w:r>
      <w:r>
        <w:rPr>
          <w:rFonts w:hint="eastAsia"/>
          <w:color w:val="auto"/>
          <w:highlight w:val="none"/>
          <w:lang w:val="en-US" w:eastAsia="zh-CN"/>
        </w:rPr>
        <w:t>.</w:t>
      </w:r>
      <w:r>
        <w:rPr>
          <w:rFonts w:hint="eastAsia" w:ascii="宋体" w:hAnsi="宋体" w:eastAsia="宋体" w:cs="宋体"/>
          <w:color w:val="auto"/>
          <w:highlight w:val="none"/>
          <w:lang w:val="en-US" w:eastAsia="zh-CN"/>
        </w:rPr>
        <w:t>1</w:t>
      </w:r>
      <w:r>
        <w:rPr>
          <w:rFonts w:hint="eastAsia"/>
          <w:color w:val="auto"/>
          <w:highlight w:val="none"/>
          <w:lang w:val="en-US" w:eastAsia="zh-CN"/>
        </w:rPr>
        <w:t>.</w:t>
      </w:r>
      <w:r>
        <w:rPr>
          <w:rFonts w:hint="eastAsia" w:ascii="宋体" w:hAnsi="宋体" w:eastAsia="宋体" w:cs="宋体"/>
          <w:color w:val="auto"/>
          <w:highlight w:val="none"/>
          <w:lang w:val="en-US" w:eastAsia="zh-CN"/>
        </w:rPr>
        <w:t>2</w:t>
      </w:r>
      <w:r>
        <w:rPr>
          <w:rFonts w:hint="eastAsia"/>
          <w:color w:val="auto"/>
          <w:highlight w:val="none"/>
          <w:lang w:val="en-US" w:eastAsia="zh-CN"/>
        </w:rPr>
        <w:t>的基础上还应满足以下要求</w:t>
      </w:r>
      <w:r>
        <w:rPr>
          <w:rFonts w:hint="eastAsia" w:ascii="宋体" w:hAnsi="宋体"/>
          <w:color w:val="auto"/>
          <w:highlight w:val="none"/>
          <w:lang w:val="en-US" w:eastAsia="zh-CN"/>
        </w:rPr>
        <w:t>：</w:t>
      </w:r>
    </w:p>
    <w:p>
      <w:pPr>
        <w:numPr>
          <w:ilvl w:val="0"/>
          <w:numId w:val="74"/>
        </w:numPr>
        <w:spacing w:line="360" w:lineRule="auto"/>
        <w:ind w:left="840" w:hanging="420" w:firstLineChars="0"/>
        <w:rPr>
          <w:rFonts w:hint="eastAsia"/>
          <w:color w:val="auto"/>
          <w:highlight w:val="none"/>
          <w:lang w:val="en-US" w:eastAsia="zh-CN"/>
        </w:rPr>
      </w:pPr>
      <w:r>
        <w:rPr>
          <w:rFonts w:hint="eastAsia"/>
          <w:color w:val="auto"/>
          <w:highlight w:val="none"/>
          <w:lang w:val="en-US" w:eastAsia="zh-CN"/>
        </w:rPr>
        <w:t>应具备工业数据采集行为实时监控能力，在发现异常时第一时间终止工业数据采集行为。</w:t>
      </w:r>
    </w:p>
    <w:p>
      <w:pPr>
        <w:numPr>
          <w:ilvl w:val="0"/>
          <w:numId w:val="74"/>
        </w:numPr>
        <w:spacing w:line="360" w:lineRule="auto"/>
        <w:ind w:left="840" w:hanging="420"/>
        <w:rPr>
          <w:rFonts w:hint="eastAsia"/>
          <w:color w:val="auto"/>
          <w:highlight w:val="none"/>
          <w:lang w:val="en-US" w:eastAsia="zh-CN"/>
        </w:rPr>
      </w:pPr>
      <w:r>
        <w:rPr>
          <w:rFonts w:hint="eastAsia"/>
          <w:color w:val="auto"/>
          <w:highlight w:val="none"/>
          <w:lang w:val="en-US" w:eastAsia="zh-CN"/>
        </w:rPr>
        <w:t>应使用水印溯源等技术，对数据泄露风险及行为进行追踪，可定位到责任人等。</w:t>
      </w:r>
    </w:p>
    <w:p>
      <w:pPr>
        <w:pStyle w:val="26"/>
        <w:bidi w:val="0"/>
        <w:outlineLvl w:val="1"/>
        <w:rPr>
          <w:rFonts w:hint="default"/>
          <w:color w:val="auto"/>
          <w:highlight w:val="none"/>
          <w:lang w:val="en-US" w:eastAsia="zh-CN"/>
        </w:rPr>
      </w:pPr>
      <w:bookmarkStart w:id="547" w:name="_Toc30477"/>
      <w:bookmarkStart w:id="548" w:name="_Toc24744"/>
      <w:bookmarkStart w:id="549" w:name="_Toc8981"/>
      <w:bookmarkStart w:id="550" w:name="_Toc1944"/>
      <w:r>
        <w:rPr>
          <w:rFonts w:hint="eastAsia"/>
          <w:color w:val="auto"/>
          <w:highlight w:val="none"/>
          <w:lang w:val="en-US" w:eastAsia="zh-CN"/>
        </w:rPr>
        <w:t>工业数据存储</w:t>
      </w:r>
      <w:bookmarkEnd w:id="547"/>
      <w:bookmarkEnd w:id="548"/>
      <w:bookmarkEnd w:id="549"/>
      <w:bookmarkEnd w:id="550"/>
    </w:p>
    <w:p>
      <w:pPr>
        <w:pStyle w:val="27"/>
        <w:bidi w:val="0"/>
        <w:outlineLvl w:val="2"/>
        <w:rPr>
          <w:rFonts w:hint="default"/>
          <w:color w:val="auto"/>
          <w:highlight w:val="none"/>
          <w:lang w:val="en-US" w:eastAsia="zh-CN"/>
        </w:rPr>
      </w:pPr>
      <w:bookmarkStart w:id="551" w:name="_Toc24423"/>
      <w:bookmarkStart w:id="552" w:name="_Toc26588"/>
      <w:bookmarkStart w:id="553" w:name="_Toc12705"/>
      <w:bookmarkStart w:id="554" w:name="_Toc29236"/>
      <w:bookmarkStart w:id="555" w:name="_Toc11747"/>
      <w:bookmarkStart w:id="556" w:name="_Toc12632"/>
      <w:bookmarkStart w:id="557" w:name="_Toc27062"/>
      <w:bookmarkStart w:id="558" w:name="_Toc13207"/>
      <w:bookmarkStart w:id="559" w:name="_Toc20719"/>
      <w:r>
        <w:rPr>
          <w:rFonts w:hint="eastAsia"/>
          <w:color w:val="auto"/>
          <w:highlight w:val="none"/>
          <w:lang w:val="en-US" w:eastAsia="zh-CN"/>
        </w:rPr>
        <w:t>一般数据</w:t>
      </w:r>
      <w:bookmarkEnd w:id="551"/>
      <w:bookmarkEnd w:id="552"/>
      <w:bookmarkEnd w:id="553"/>
      <w:bookmarkEnd w:id="554"/>
      <w:bookmarkEnd w:id="555"/>
      <w:bookmarkEnd w:id="556"/>
      <w:bookmarkEnd w:id="557"/>
      <w:bookmarkEnd w:id="558"/>
      <w:bookmarkEnd w:id="559"/>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一般数据存储安全防护要求如下</w:t>
      </w:r>
      <w:r>
        <w:rPr>
          <w:rFonts w:hint="eastAsia" w:ascii="宋体" w:hAnsi="宋体"/>
          <w:color w:val="auto"/>
          <w:highlight w:val="none"/>
          <w:lang w:val="en-US" w:eastAsia="zh-CN"/>
        </w:rPr>
        <w:t>：</w:t>
      </w:r>
    </w:p>
    <w:p>
      <w:pPr>
        <w:numPr>
          <w:ilvl w:val="0"/>
          <w:numId w:val="7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工业数据应保存在可信或可控的信息系统或物理环境中。</w:t>
      </w:r>
    </w:p>
    <w:p>
      <w:pPr>
        <w:numPr>
          <w:ilvl w:val="0"/>
          <w:numId w:val="7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应根据存储数据量、数据重要性、数据敏感程度等因素，选择合适的存储介质，实施工业数据存储介质安全管控。</w:t>
      </w:r>
    </w:p>
    <w:p>
      <w:pPr>
        <w:numPr>
          <w:ilvl w:val="0"/>
          <w:numId w:val="75"/>
        </w:numPr>
        <w:spacing w:line="360" w:lineRule="auto"/>
        <w:ind w:left="840" w:leftChars="0" w:hanging="420" w:firstLineChars="0"/>
        <w:rPr>
          <w:rFonts w:hint="default"/>
          <w:color w:val="auto"/>
          <w:highlight w:val="none"/>
          <w:lang w:val="en-US" w:eastAsia="zh-CN"/>
        </w:rPr>
      </w:pPr>
      <w:r>
        <w:rPr>
          <w:rFonts w:hint="eastAsia"/>
          <w:color w:val="auto"/>
          <w:highlight w:val="none"/>
          <w:lang w:val="en-US" w:eastAsia="zh-CN"/>
        </w:rPr>
        <w:t>应加强对隐形敏感数据的识别，例如有些数据在法律法规中并未被认定为敏感数据域范围，这类数据单独使用时无任何敏感性可言，但结合其它数据，却可以组合成为敏感数据。</w:t>
      </w:r>
    </w:p>
    <w:p>
      <w:pPr>
        <w:numPr>
          <w:ilvl w:val="0"/>
          <w:numId w:val="7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应设立工业数据存储介质安全管理部门，对工业数据存储介质由进行统一管理。</w:t>
      </w:r>
    </w:p>
    <w:p>
      <w:pPr>
        <w:numPr>
          <w:ilvl w:val="0"/>
          <w:numId w:val="7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工业数据存储介质采购应选择可靠的品牌，确保产品质量，采购时遵循申报、审批、采购、标识、入账的流程，采购中应进行防病毒等安全性检测，在确保安全的情况下入账。</w:t>
      </w:r>
    </w:p>
    <w:p>
      <w:pPr>
        <w:numPr>
          <w:ilvl w:val="0"/>
          <w:numId w:val="7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工业数据存储介质的存放环境应有防火、防盗、防水、防尘、防震、防腐蚀及防静电等措施，防止其被盗、被毁、被未授权修改以及其信息的非法泄露。</w:t>
      </w:r>
    </w:p>
    <w:p>
      <w:pPr>
        <w:numPr>
          <w:ilvl w:val="0"/>
          <w:numId w:val="7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应对工业数据存储介质作明确的分类标识，包括存储数据的内容、归属、大小、存储期限、保密程度等，并结合数据类型和管理策略统一命名。</w:t>
      </w:r>
    </w:p>
    <w:p>
      <w:pPr>
        <w:numPr>
          <w:ilvl w:val="0"/>
          <w:numId w:val="7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应建立工业数据存储介质保管清单，由工业数据存储介质安全管理部门定期根据保管清单对介质的使用现状进行检查，检查内容包括完整性和可用性，出现差异时，必须及时报告给上级领导部门。</w:t>
      </w:r>
    </w:p>
    <w:p>
      <w:pPr>
        <w:numPr>
          <w:ilvl w:val="0"/>
          <w:numId w:val="7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工业数据存储介质在运输过程中，必须采取密封处理。</w:t>
      </w:r>
    </w:p>
    <w:p>
      <w:pPr>
        <w:numPr>
          <w:ilvl w:val="0"/>
          <w:numId w:val="7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当存有敏感业务信息的工业数据存储介质进行异地传输时，应选择本单位可靠人员进行传递，并且使用专用安全箱包进行包装。</w:t>
      </w:r>
    </w:p>
    <w:p>
      <w:pPr>
        <w:numPr>
          <w:ilvl w:val="0"/>
          <w:numId w:val="7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选取可靠的速递公司承担工业数据存储介质的传递工作，应与速递公司签订协议，明确工业数据存储介质传递时间、安全保障（防火、防震、防潮、防磁、防盗）等方面的要求。速递公司的资质、介质传递流程、速递合同须经存储介质安全管理部门批准。</w:t>
      </w:r>
    </w:p>
    <w:p>
      <w:pPr>
        <w:numPr>
          <w:ilvl w:val="0"/>
          <w:numId w:val="7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工业数据存储介质安全管理部门需对工业数据存储介质的运输过程进行详细记录。</w:t>
      </w:r>
    </w:p>
    <w:p>
      <w:pPr>
        <w:numPr>
          <w:ilvl w:val="0"/>
          <w:numId w:val="75"/>
        </w:numPr>
        <w:spacing w:line="360" w:lineRule="auto"/>
        <w:ind w:left="840" w:leftChars="0" w:hanging="420" w:firstLineChars="0"/>
        <w:rPr>
          <w:rFonts w:hint="default"/>
          <w:color w:val="auto"/>
          <w:highlight w:val="none"/>
          <w:lang w:val="en-US" w:eastAsia="zh-CN"/>
        </w:rPr>
      </w:pPr>
      <w:r>
        <w:rPr>
          <w:rFonts w:hint="eastAsia"/>
          <w:color w:val="auto"/>
          <w:highlight w:val="none"/>
          <w:lang w:val="en-US" w:eastAsia="zh-CN"/>
        </w:rPr>
        <w:t>逻辑存储系统应对用户进行权限分离，授予用户最小的权限。</w:t>
      </w:r>
    </w:p>
    <w:p>
      <w:pPr>
        <w:numPr>
          <w:ilvl w:val="0"/>
          <w:numId w:val="75"/>
        </w:numPr>
        <w:spacing w:line="360" w:lineRule="auto"/>
        <w:ind w:left="840" w:leftChars="0" w:hanging="420" w:firstLineChars="0"/>
        <w:rPr>
          <w:rFonts w:hint="default"/>
          <w:color w:val="auto"/>
          <w:highlight w:val="none"/>
          <w:lang w:val="en-US" w:eastAsia="zh-CN"/>
        </w:rPr>
      </w:pPr>
      <w:r>
        <w:rPr>
          <w:rFonts w:hint="eastAsia"/>
          <w:color w:val="auto"/>
          <w:highlight w:val="none"/>
          <w:lang w:val="en-US" w:eastAsia="zh-CN"/>
        </w:rPr>
        <w:t>逻辑存储系统账号口令要严格保密，并要求具有一定的复杂度，账号口令需定期更改，账号口令的更新周期不得超过</w:t>
      </w:r>
      <w:r>
        <w:rPr>
          <w:rFonts w:hint="eastAsia" w:ascii="宋体" w:hAnsi="宋体" w:eastAsia="宋体" w:cs="宋体"/>
          <w:color w:val="auto"/>
          <w:highlight w:val="none"/>
          <w:lang w:val="en-US" w:eastAsia="zh-CN"/>
        </w:rPr>
        <w:t>90</w:t>
      </w:r>
      <w:r>
        <w:rPr>
          <w:rFonts w:hint="eastAsia"/>
          <w:color w:val="auto"/>
          <w:highlight w:val="none"/>
          <w:lang w:val="en-US" w:eastAsia="zh-CN"/>
        </w:rPr>
        <w:t>天。</w:t>
      </w:r>
    </w:p>
    <w:p>
      <w:pPr>
        <w:numPr>
          <w:ilvl w:val="0"/>
          <w:numId w:val="75"/>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应具备较强的病毒防范意识，定期进行病毒检测，发现病毒立即处理并通知上级领导部门或专职人员</w:t>
      </w:r>
      <w:r>
        <w:rPr>
          <w:rFonts w:hint="eastAsia"/>
          <w:color w:val="auto"/>
          <w:highlight w:val="none"/>
          <w:lang w:val="en-US" w:eastAsia="zh-CN"/>
        </w:rPr>
        <w:t>。</w:t>
      </w:r>
    </w:p>
    <w:p>
      <w:pPr>
        <w:numPr>
          <w:ilvl w:val="0"/>
          <w:numId w:val="75"/>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定期检查逻辑存储系统上的安全日志进行检查，对错误、异常、警告等日志进行分析判断，并将判读结果进行有效解决处理并记录存档</w:t>
      </w:r>
      <w:r>
        <w:rPr>
          <w:rFonts w:hint="eastAsia"/>
          <w:color w:val="auto"/>
          <w:highlight w:val="none"/>
          <w:lang w:val="en-US" w:eastAsia="zh-CN"/>
        </w:rPr>
        <w:t>。</w:t>
      </w:r>
    </w:p>
    <w:p>
      <w:pPr>
        <w:numPr>
          <w:ilvl w:val="0"/>
          <w:numId w:val="7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应在获得客户的授权的前提下，工业企业才具有客户数据的管理权限。</w:t>
      </w:r>
    </w:p>
    <w:p>
      <w:pPr>
        <w:numPr>
          <w:ilvl w:val="0"/>
          <w:numId w:val="7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应依据法律规定或与用户约定的方式和期限存储数据。并根据实际情况开展数据备份。</w:t>
      </w:r>
    </w:p>
    <w:p>
      <w:pPr>
        <w:pStyle w:val="27"/>
        <w:bidi w:val="0"/>
        <w:outlineLvl w:val="2"/>
        <w:rPr>
          <w:rFonts w:hint="default"/>
          <w:color w:val="auto"/>
          <w:highlight w:val="none"/>
          <w:lang w:val="en-US" w:eastAsia="zh-CN"/>
        </w:rPr>
      </w:pPr>
      <w:bookmarkStart w:id="560" w:name="_Toc12604"/>
      <w:bookmarkStart w:id="561" w:name="_Toc25122"/>
      <w:bookmarkStart w:id="562" w:name="_Toc6375"/>
      <w:bookmarkStart w:id="563" w:name="_Toc1101"/>
      <w:bookmarkStart w:id="564" w:name="_Toc2059"/>
      <w:bookmarkStart w:id="565" w:name="_Toc13838"/>
      <w:bookmarkStart w:id="566" w:name="_Toc25275"/>
      <w:bookmarkStart w:id="567" w:name="_Toc14000"/>
      <w:bookmarkStart w:id="568" w:name="_Toc29943"/>
      <w:r>
        <w:rPr>
          <w:rFonts w:hint="eastAsia"/>
          <w:color w:val="auto"/>
          <w:highlight w:val="none"/>
          <w:lang w:val="en-US" w:eastAsia="zh-CN"/>
        </w:rPr>
        <w:t>重要数据</w:t>
      </w:r>
      <w:bookmarkEnd w:id="560"/>
      <w:bookmarkEnd w:id="561"/>
      <w:bookmarkEnd w:id="562"/>
      <w:bookmarkEnd w:id="563"/>
      <w:bookmarkEnd w:id="564"/>
      <w:bookmarkEnd w:id="565"/>
      <w:bookmarkEnd w:id="566"/>
      <w:bookmarkEnd w:id="567"/>
      <w:bookmarkEnd w:id="568"/>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重要数据存储在</w:t>
      </w:r>
      <w:r>
        <w:rPr>
          <w:rFonts w:hint="eastAsia" w:ascii="宋体" w:hAnsi="宋体" w:eastAsia="宋体" w:cs="宋体"/>
          <w:color w:val="auto"/>
          <w:highlight w:val="none"/>
          <w:lang w:val="en-US" w:eastAsia="zh-CN"/>
        </w:rPr>
        <w:t>9</w:t>
      </w:r>
      <w:r>
        <w:rPr>
          <w:rFonts w:hint="eastAsia"/>
          <w:color w:val="auto"/>
          <w:highlight w:val="none"/>
          <w:lang w:val="en-US" w:eastAsia="zh-CN"/>
        </w:rPr>
        <w:t>.</w:t>
      </w:r>
      <w:r>
        <w:rPr>
          <w:rFonts w:hint="eastAsia" w:ascii="宋体" w:hAnsi="宋体" w:eastAsia="宋体" w:cs="宋体"/>
          <w:color w:val="auto"/>
          <w:highlight w:val="none"/>
          <w:lang w:val="en-US" w:eastAsia="zh-CN"/>
        </w:rPr>
        <w:t>2</w:t>
      </w:r>
      <w:r>
        <w:rPr>
          <w:rFonts w:hint="eastAsia"/>
          <w:color w:val="auto"/>
          <w:highlight w:val="none"/>
          <w:lang w:val="en-US" w:eastAsia="zh-CN"/>
        </w:rPr>
        <w:t>.</w:t>
      </w:r>
      <w:r>
        <w:rPr>
          <w:rFonts w:hint="eastAsia" w:ascii="宋体" w:hAnsi="宋体" w:eastAsia="宋体" w:cs="宋体"/>
          <w:color w:val="auto"/>
          <w:highlight w:val="none"/>
          <w:lang w:val="en-US" w:eastAsia="zh-CN"/>
        </w:rPr>
        <w:t>1</w:t>
      </w:r>
      <w:r>
        <w:rPr>
          <w:rFonts w:hint="eastAsia"/>
          <w:color w:val="auto"/>
          <w:highlight w:val="none"/>
          <w:lang w:val="en-US" w:eastAsia="zh-CN"/>
        </w:rPr>
        <w:t>的基础上还应满足以下要求</w:t>
      </w:r>
      <w:r>
        <w:rPr>
          <w:rFonts w:hint="eastAsia" w:ascii="宋体" w:hAnsi="宋体"/>
          <w:color w:val="auto"/>
          <w:highlight w:val="none"/>
          <w:lang w:val="en-US" w:eastAsia="zh-CN"/>
        </w:rPr>
        <w:t>：</w:t>
      </w:r>
    </w:p>
    <w:p>
      <w:pPr>
        <w:numPr>
          <w:ilvl w:val="0"/>
          <w:numId w:val="76"/>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应采用工业数据存储介质安全管控、校验技术、加密技术、数字签名等手段实现数据安全存储，不得直接提供存储系统的公共信息网络访问。</w:t>
      </w:r>
    </w:p>
    <w:p>
      <w:pPr>
        <w:numPr>
          <w:ilvl w:val="0"/>
          <w:numId w:val="76"/>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应对存储数据的使用者进行身份鉴别和访问控制。</w:t>
      </w:r>
    </w:p>
    <w:p>
      <w:pPr>
        <w:numPr>
          <w:ilvl w:val="0"/>
          <w:numId w:val="76"/>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应能够检测到数据在存储过程中机密性、完整性、可用性收到破坏，在检测到数据被破坏时进行告警并采取必要的恢复措施。</w:t>
      </w:r>
    </w:p>
    <w:p>
      <w:pPr>
        <w:numPr>
          <w:ilvl w:val="0"/>
          <w:numId w:val="76"/>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应提供有效的虚拟机镜像文件加载保护机制，保证即使虚拟机镜像被窃取、非法用户也无法直接在其计算资源上进行挂卷运行。</w:t>
      </w:r>
    </w:p>
    <w:p>
      <w:pPr>
        <w:numPr>
          <w:ilvl w:val="0"/>
          <w:numId w:val="76"/>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重要工业数据应存储于中国境内，如需出境，应遵循国家相关规定。</w:t>
      </w:r>
    </w:p>
    <w:p>
      <w:pPr>
        <w:numPr>
          <w:ilvl w:val="0"/>
          <w:numId w:val="76"/>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应加强数据备份管理，并对备份的数据采取与原数据同等级别的安全措施。</w:t>
      </w:r>
    </w:p>
    <w:p>
      <w:pPr>
        <w:numPr>
          <w:ilvl w:val="0"/>
          <w:numId w:val="76"/>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应定期进行数据恢复演练，全量数据备份至少每周一次，增量数据备份至少每天一次。</w:t>
      </w:r>
    </w:p>
    <w:p>
      <w:pPr>
        <w:pStyle w:val="27"/>
        <w:bidi w:val="0"/>
        <w:outlineLvl w:val="2"/>
        <w:rPr>
          <w:rFonts w:hint="default"/>
          <w:color w:val="auto"/>
          <w:highlight w:val="none"/>
          <w:lang w:val="en-US" w:eastAsia="zh-CN"/>
        </w:rPr>
      </w:pPr>
      <w:bookmarkStart w:id="569" w:name="_Toc26991"/>
      <w:bookmarkStart w:id="570" w:name="_Toc14324"/>
      <w:bookmarkStart w:id="571" w:name="_Toc31693"/>
      <w:bookmarkStart w:id="572" w:name="_Toc24991"/>
      <w:bookmarkStart w:id="573" w:name="_Toc22852"/>
      <w:bookmarkStart w:id="574" w:name="_Toc20323"/>
      <w:bookmarkStart w:id="575" w:name="_Toc30475"/>
      <w:bookmarkStart w:id="576" w:name="_Toc6441"/>
      <w:bookmarkStart w:id="577" w:name="_Toc13393"/>
      <w:r>
        <w:rPr>
          <w:rFonts w:hint="eastAsia"/>
          <w:color w:val="auto"/>
          <w:highlight w:val="none"/>
          <w:lang w:val="en-US" w:eastAsia="zh-CN"/>
        </w:rPr>
        <w:t>核心数据</w:t>
      </w:r>
      <w:bookmarkEnd w:id="569"/>
      <w:bookmarkEnd w:id="570"/>
      <w:bookmarkEnd w:id="571"/>
      <w:bookmarkEnd w:id="572"/>
      <w:bookmarkEnd w:id="573"/>
      <w:bookmarkEnd w:id="574"/>
      <w:bookmarkEnd w:id="575"/>
      <w:bookmarkEnd w:id="576"/>
      <w:bookmarkEnd w:id="577"/>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核心数据存储在</w:t>
      </w:r>
      <w:r>
        <w:rPr>
          <w:rFonts w:hint="eastAsia" w:ascii="宋体" w:hAnsi="宋体" w:eastAsia="宋体" w:cs="宋体"/>
          <w:color w:val="auto"/>
          <w:highlight w:val="none"/>
          <w:lang w:val="en-US" w:eastAsia="zh-CN"/>
        </w:rPr>
        <w:t>9</w:t>
      </w:r>
      <w:r>
        <w:rPr>
          <w:rFonts w:hint="eastAsia"/>
          <w:color w:val="auto"/>
          <w:highlight w:val="none"/>
          <w:lang w:val="en-US" w:eastAsia="zh-CN"/>
        </w:rPr>
        <w:t>.</w:t>
      </w:r>
      <w:r>
        <w:rPr>
          <w:rFonts w:hint="eastAsia" w:ascii="宋体" w:hAnsi="宋体" w:eastAsia="宋体" w:cs="宋体"/>
          <w:color w:val="auto"/>
          <w:highlight w:val="none"/>
          <w:lang w:val="en-US" w:eastAsia="zh-CN"/>
        </w:rPr>
        <w:t>2</w:t>
      </w:r>
      <w:r>
        <w:rPr>
          <w:rFonts w:hint="eastAsia"/>
          <w:color w:val="auto"/>
          <w:highlight w:val="none"/>
          <w:lang w:val="en-US" w:eastAsia="zh-CN"/>
        </w:rPr>
        <w:t>.</w:t>
      </w:r>
      <w:r>
        <w:rPr>
          <w:rFonts w:hint="eastAsia" w:ascii="宋体" w:hAnsi="宋体" w:eastAsia="宋体" w:cs="宋体"/>
          <w:color w:val="auto"/>
          <w:highlight w:val="none"/>
          <w:lang w:val="en-US" w:eastAsia="zh-CN"/>
        </w:rPr>
        <w:t>2</w:t>
      </w:r>
      <w:r>
        <w:rPr>
          <w:rFonts w:hint="eastAsia"/>
          <w:color w:val="auto"/>
          <w:highlight w:val="none"/>
          <w:lang w:val="en-US" w:eastAsia="zh-CN"/>
        </w:rPr>
        <w:t>的基础上还应满足以下要求</w:t>
      </w:r>
      <w:r>
        <w:rPr>
          <w:rFonts w:hint="eastAsia" w:ascii="宋体" w:hAnsi="宋体"/>
          <w:color w:val="auto"/>
          <w:highlight w:val="none"/>
          <w:lang w:val="en-US" w:eastAsia="zh-CN"/>
        </w:rPr>
        <w:t>：</w:t>
      </w:r>
    </w:p>
    <w:p>
      <w:pPr>
        <w:numPr>
          <w:ilvl w:val="0"/>
          <w:numId w:val="77"/>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应对核心工业数据存储设备进行硬件冗余，启用实时数据备份功能，并实施异地容灾备份，保证主设备出现故障时冗余设备可以实时切换并恢复数据。</w:t>
      </w:r>
    </w:p>
    <w:p>
      <w:pPr>
        <w:numPr>
          <w:ilvl w:val="0"/>
          <w:numId w:val="77"/>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应具备工业数据存储行为实时监控能力，发现异常时第一时间终止数据访问、删除、修改等操作行为，并采用技术手段保证存储操作行为可溯源。</w:t>
      </w:r>
    </w:p>
    <w:p>
      <w:pPr>
        <w:pStyle w:val="26"/>
        <w:bidi w:val="0"/>
        <w:outlineLvl w:val="1"/>
        <w:rPr>
          <w:rFonts w:hint="default"/>
          <w:color w:val="auto"/>
          <w:highlight w:val="none"/>
          <w:lang w:val="en-US" w:eastAsia="zh-CN"/>
        </w:rPr>
      </w:pPr>
      <w:bookmarkStart w:id="578" w:name="_Toc13975"/>
      <w:bookmarkStart w:id="579" w:name="_Toc18241"/>
      <w:bookmarkStart w:id="580" w:name="_Toc25224"/>
      <w:bookmarkStart w:id="581" w:name="_Toc20508"/>
      <w:r>
        <w:rPr>
          <w:rFonts w:hint="eastAsia"/>
          <w:color w:val="auto"/>
          <w:highlight w:val="none"/>
          <w:lang w:val="en-US" w:eastAsia="zh-CN"/>
        </w:rPr>
        <w:t>工业数据使用</w:t>
      </w:r>
      <w:bookmarkEnd w:id="578"/>
      <w:bookmarkEnd w:id="579"/>
      <w:bookmarkEnd w:id="580"/>
      <w:bookmarkEnd w:id="581"/>
    </w:p>
    <w:p>
      <w:pPr>
        <w:pStyle w:val="27"/>
        <w:bidi w:val="0"/>
        <w:outlineLvl w:val="2"/>
        <w:rPr>
          <w:rFonts w:hint="default"/>
          <w:color w:val="auto"/>
          <w:highlight w:val="none"/>
          <w:lang w:val="en-US" w:eastAsia="zh-CN"/>
        </w:rPr>
      </w:pPr>
      <w:bookmarkStart w:id="582" w:name="_Toc14412"/>
      <w:bookmarkStart w:id="583" w:name="_Toc26622"/>
      <w:bookmarkStart w:id="584" w:name="_Toc23765"/>
      <w:bookmarkStart w:id="585" w:name="_Toc28833"/>
      <w:bookmarkStart w:id="586" w:name="_Toc17832"/>
      <w:bookmarkStart w:id="587" w:name="_Toc17305"/>
      <w:bookmarkStart w:id="588" w:name="_Toc15882"/>
      <w:bookmarkStart w:id="589" w:name="_Toc2561"/>
      <w:bookmarkStart w:id="590" w:name="_Toc20289"/>
      <w:r>
        <w:rPr>
          <w:rFonts w:hint="eastAsia"/>
          <w:color w:val="auto"/>
          <w:highlight w:val="none"/>
          <w:lang w:val="en-US" w:eastAsia="zh-CN"/>
        </w:rPr>
        <w:t>一般数据</w:t>
      </w:r>
      <w:bookmarkEnd w:id="582"/>
      <w:bookmarkEnd w:id="583"/>
      <w:bookmarkEnd w:id="584"/>
      <w:bookmarkEnd w:id="585"/>
      <w:bookmarkEnd w:id="586"/>
      <w:bookmarkEnd w:id="587"/>
      <w:bookmarkEnd w:id="588"/>
      <w:bookmarkEnd w:id="589"/>
      <w:bookmarkEnd w:id="590"/>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一般数据使用的安全防护要求如下</w:t>
      </w:r>
      <w:r>
        <w:rPr>
          <w:rFonts w:hint="eastAsia" w:ascii="宋体" w:hAnsi="宋体"/>
          <w:color w:val="auto"/>
          <w:highlight w:val="none"/>
          <w:lang w:val="en-US" w:eastAsia="zh-CN"/>
        </w:rPr>
        <w:t>：</w:t>
      </w:r>
    </w:p>
    <w:p>
      <w:pPr>
        <w:numPr>
          <w:ilvl w:val="0"/>
          <w:numId w:val="78"/>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应建立工业数据使用过程中的相关责任和管控机制，严格按照国家相关法律法规和行业规范执行。</w:t>
      </w:r>
    </w:p>
    <w:p>
      <w:pPr>
        <w:numPr>
          <w:ilvl w:val="0"/>
          <w:numId w:val="78"/>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工业数据使用者在使用数据前应明确工业数据使用目的，并向数据监管部门提交申请，申请内容至少包含申请人信息、所在部门、岗位、申请理由、申请内容等信息。</w:t>
      </w:r>
    </w:p>
    <w:p>
      <w:pPr>
        <w:numPr>
          <w:ilvl w:val="0"/>
          <w:numId w:val="78"/>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数据监管部门在收到工业数据使用申请之后，需对所申请的工业数据使用范围及内容进行风险评估以及合规性审查等工作，工业数据使用监管部门审查无误后，方可对使用的数据的范围和内容进行授权授权过程中应采取“最小够用”原则，即为工业数据使用者提供完成业务处理活动所需的最小数据集。</w:t>
      </w:r>
    </w:p>
    <w:p>
      <w:pPr>
        <w:numPr>
          <w:ilvl w:val="0"/>
          <w:numId w:val="78"/>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当使用个人信息时，应征得个人信息主体的明示同意。</w:t>
      </w:r>
    </w:p>
    <w:p>
      <w:pPr>
        <w:numPr>
          <w:ilvl w:val="0"/>
          <w:numId w:val="78"/>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数据监管部门有权对不合规的使用申请提出否决意见、对授权范围和内容的变更或终止提出意见。</w:t>
      </w:r>
    </w:p>
    <w:p>
      <w:pPr>
        <w:numPr>
          <w:ilvl w:val="0"/>
          <w:numId w:val="78"/>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应对数据的访问权限和实际访问控制情况进行定期审计，至少每半年一次对访问权限规则和已授权清单进行复核，定期清理已失效的账号和授权。</w:t>
      </w:r>
    </w:p>
    <w:p>
      <w:pPr>
        <w:pStyle w:val="27"/>
        <w:bidi w:val="0"/>
        <w:outlineLvl w:val="2"/>
        <w:rPr>
          <w:rFonts w:hint="default"/>
          <w:color w:val="auto"/>
          <w:highlight w:val="none"/>
          <w:lang w:val="en-US" w:eastAsia="zh-CN"/>
        </w:rPr>
      </w:pPr>
      <w:bookmarkStart w:id="591" w:name="_Toc32060"/>
      <w:bookmarkStart w:id="592" w:name="_Toc12363"/>
      <w:bookmarkStart w:id="593" w:name="_Toc28976"/>
      <w:bookmarkStart w:id="594" w:name="_Toc32017"/>
      <w:bookmarkStart w:id="595" w:name="_Toc14818"/>
      <w:bookmarkStart w:id="596" w:name="_Toc24749"/>
      <w:bookmarkStart w:id="597" w:name="_Toc22584"/>
      <w:bookmarkStart w:id="598" w:name="_Toc9754"/>
      <w:bookmarkStart w:id="599" w:name="_Toc3529"/>
      <w:r>
        <w:rPr>
          <w:rFonts w:hint="eastAsia"/>
          <w:color w:val="auto"/>
          <w:highlight w:val="none"/>
          <w:lang w:val="en-US" w:eastAsia="zh-CN"/>
        </w:rPr>
        <w:t>重要数据</w:t>
      </w:r>
      <w:bookmarkEnd w:id="591"/>
      <w:bookmarkEnd w:id="592"/>
      <w:bookmarkEnd w:id="593"/>
      <w:bookmarkEnd w:id="594"/>
      <w:bookmarkEnd w:id="595"/>
      <w:bookmarkEnd w:id="596"/>
      <w:bookmarkEnd w:id="597"/>
      <w:bookmarkEnd w:id="598"/>
      <w:bookmarkEnd w:id="599"/>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重要数据使用在</w:t>
      </w:r>
      <w:r>
        <w:rPr>
          <w:rFonts w:hint="eastAsia" w:ascii="宋体" w:hAnsi="宋体" w:eastAsia="宋体" w:cs="宋体"/>
          <w:color w:val="auto"/>
          <w:highlight w:val="none"/>
          <w:lang w:val="en-US" w:eastAsia="zh-CN"/>
        </w:rPr>
        <w:t>9</w:t>
      </w:r>
      <w:r>
        <w:rPr>
          <w:rFonts w:hint="eastAsia"/>
          <w:color w:val="auto"/>
          <w:highlight w:val="none"/>
          <w:lang w:val="en-US" w:eastAsia="zh-CN"/>
        </w:rPr>
        <w:t>.</w:t>
      </w:r>
      <w:r>
        <w:rPr>
          <w:rFonts w:hint="eastAsia" w:ascii="宋体" w:hAnsi="宋体" w:eastAsia="宋体" w:cs="宋体"/>
          <w:color w:val="auto"/>
          <w:highlight w:val="none"/>
          <w:lang w:val="en-US" w:eastAsia="zh-CN"/>
        </w:rPr>
        <w:t>3</w:t>
      </w:r>
      <w:r>
        <w:rPr>
          <w:rFonts w:hint="eastAsia"/>
          <w:color w:val="auto"/>
          <w:highlight w:val="none"/>
          <w:lang w:val="en-US" w:eastAsia="zh-CN"/>
        </w:rPr>
        <w:t>.</w:t>
      </w:r>
      <w:r>
        <w:rPr>
          <w:rFonts w:hint="eastAsia" w:ascii="宋体" w:hAnsi="宋体" w:eastAsia="宋体" w:cs="宋体"/>
          <w:color w:val="auto"/>
          <w:highlight w:val="none"/>
          <w:lang w:val="en-US" w:eastAsia="zh-CN"/>
        </w:rPr>
        <w:t>1</w:t>
      </w:r>
      <w:r>
        <w:rPr>
          <w:rFonts w:hint="eastAsia"/>
          <w:color w:val="auto"/>
          <w:highlight w:val="none"/>
          <w:lang w:val="en-US" w:eastAsia="zh-CN"/>
        </w:rPr>
        <w:t>的基础上还应满足以下要求</w:t>
      </w:r>
      <w:r>
        <w:rPr>
          <w:rFonts w:hint="eastAsia" w:ascii="宋体" w:hAnsi="宋体"/>
          <w:color w:val="auto"/>
          <w:highlight w:val="none"/>
          <w:lang w:val="en-US" w:eastAsia="zh-CN"/>
        </w:rPr>
        <w:t>：</w:t>
      </w:r>
    </w:p>
    <w:p>
      <w:pPr>
        <w:numPr>
          <w:ilvl w:val="0"/>
          <w:numId w:val="79"/>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应配置成熟的数据权限管理平台，限定用户可访问的数据范围。</w:t>
      </w:r>
    </w:p>
    <w:p>
      <w:pPr>
        <w:numPr>
          <w:ilvl w:val="0"/>
          <w:numId w:val="79"/>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授权应当符合内部控制的基本要求，做到不相容岗位的有效分离。</w:t>
      </w:r>
    </w:p>
    <w:p>
      <w:pPr>
        <w:numPr>
          <w:ilvl w:val="0"/>
          <w:numId w:val="79"/>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工业数据使用监管部门需确定授权的有效期，期满后需重新授权。</w:t>
      </w:r>
    </w:p>
    <w:p>
      <w:pPr>
        <w:numPr>
          <w:ilvl w:val="0"/>
          <w:numId w:val="79"/>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应建立工业数据使用的违规外罚制度和惩罚措施，对个人信息，重要数据的违规使用等行为进行处罚，强调工业数据使用者安全责任。</w:t>
      </w:r>
    </w:p>
    <w:p>
      <w:pPr>
        <w:pStyle w:val="27"/>
        <w:bidi w:val="0"/>
        <w:outlineLvl w:val="2"/>
        <w:rPr>
          <w:rFonts w:hint="default"/>
          <w:color w:val="auto"/>
          <w:highlight w:val="none"/>
          <w:lang w:val="en-US" w:eastAsia="zh-CN"/>
        </w:rPr>
      </w:pPr>
      <w:bookmarkStart w:id="600" w:name="_Toc5687"/>
      <w:bookmarkStart w:id="601" w:name="_Toc2007"/>
      <w:bookmarkStart w:id="602" w:name="_Toc2596"/>
      <w:bookmarkStart w:id="603" w:name="_Toc2083"/>
      <w:bookmarkStart w:id="604" w:name="_Toc19619"/>
      <w:bookmarkStart w:id="605" w:name="_Toc17604"/>
      <w:bookmarkStart w:id="606" w:name="_Toc17569"/>
      <w:bookmarkStart w:id="607" w:name="_Toc863"/>
      <w:bookmarkStart w:id="608" w:name="_Toc29981"/>
      <w:r>
        <w:rPr>
          <w:rFonts w:hint="eastAsia"/>
          <w:color w:val="auto"/>
          <w:highlight w:val="none"/>
          <w:lang w:val="en-US" w:eastAsia="zh-CN"/>
        </w:rPr>
        <w:t>核心数据</w:t>
      </w:r>
      <w:bookmarkEnd w:id="600"/>
      <w:bookmarkEnd w:id="601"/>
      <w:bookmarkEnd w:id="602"/>
      <w:bookmarkEnd w:id="603"/>
      <w:bookmarkEnd w:id="604"/>
      <w:bookmarkEnd w:id="605"/>
      <w:bookmarkEnd w:id="606"/>
      <w:bookmarkEnd w:id="607"/>
      <w:bookmarkEnd w:id="608"/>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核心数据使用在</w:t>
      </w:r>
      <w:r>
        <w:rPr>
          <w:rFonts w:hint="eastAsia" w:ascii="宋体" w:hAnsi="宋体" w:eastAsia="宋体" w:cs="宋体"/>
          <w:color w:val="auto"/>
          <w:highlight w:val="none"/>
          <w:lang w:val="en-US" w:eastAsia="zh-CN"/>
        </w:rPr>
        <w:t>9</w:t>
      </w:r>
      <w:r>
        <w:rPr>
          <w:rFonts w:hint="eastAsia"/>
          <w:color w:val="auto"/>
          <w:highlight w:val="none"/>
          <w:lang w:val="en-US" w:eastAsia="zh-CN"/>
        </w:rPr>
        <w:t>.</w:t>
      </w:r>
      <w:r>
        <w:rPr>
          <w:rFonts w:hint="eastAsia" w:ascii="宋体" w:hAnsi="宋体" w:eastAsia="宋体" w:cs="宋体"/>
          <w:color w:val="auto"/>
          <w:highlight w:val="none"/>
          <w:lang w:val="en-US" w:eastAsia="zh-CN"/>
        </w:rPr>
        <w:t>3</w:t>
      </w:r>
      <w:r>
        <w:rPr>
          <w:rFonts w:hint="eastAsia"/>
          <w:color w:val="auto"/>
          <w:highlight w:val="none"/>
          <w:lang w:val="en-US" w:eastAsia="zh-CN"/>
        </w:rPr>
        <w:t>.</w:t>
      </w:r>
      <w:r>
        <w:rPr>
          <w:rFonts w:hint="eastAsia" w:ascii="宋体" w:hAnsi="宋体" w:eastAsia="宋体" w:cs="宋体"/>
          <w:color w:val="auto"/>
          <w:highlight w:val="none"/>
          <w:lang w:val="en-US" w:eastAsia="zh-CN"/>
        </w:rPr>
        <w:t>2</w:t>
      </w:r>
      <w:r>
        <w:rPr>
          <w:rFonts w:hint="eastAsia"/>
          <w:color w:val="auto"/>
          <w:highlight w:val="none"/>
          <w:lang w:val="en-US" w:eastAsia="zh-CN"/>
        </w:rPr>
        <w:t>的基础上还应满足以下要求</w:t>
      </w:r>
      <w:r>
        <w:rPr>
          <w:rFonts w:hint="eastAsia" w:ascii="宋体" w:hAnsi="宋体"/>
          <w:color w:val="auto"/>
          <w:highlight w:val="none"/>
          <w:lang w:val="en-US" w:eastAsia="zh-CN"/>
        </w:rPr>
        <w:t>：</w:t>
      </w:r>
    </w:p>
    <w:p>
      <w:pPr>
        <w:numPr>
          <w:ilvl w:val="0"/>
          <w:numId w:val="80"/>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工业数据使用监管部门完成用户权限的设置后，必须将签署后的授权书存档备案管理。</w:t>
      </w:r>
    </w:p>
    <w:p>
      <w:pPr>
        <w:numPr>
          <w:ilvl w:val="0"/>
          <w:numId w:val="80"/>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应配置成熟的工业数据使用日志记录或审计产品，对工业数据使用操作进行记录审计以备责任识别和追责。</w:t>
      </w:r>
    </w:p>
    <w:p>
      <w:pPr>
        <w:numPr>
          <w:ilvl w:val="0"/>
          <w:numId w:val="80"/>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工业数据使用监管部门需监视数据的使用情况，发现可疑授权、可疑使用情况时，及时通报修正。</w:t>
      </w:r>
    </w:p>
    <w:p>
      <w:pPr>
        <w:pStyle w:val="26"/>
        <w:bidi w:val="0"/>
        <w:outlineLvl w:val="1"/>
        <w:rPr>
          <w:rFonts w:hint="default"/>
          <w:color w:val="auto"/>
          <w:highlight w:val="none"/>
          <w:lang w:val="en-US" w:eastAsia="zh-CN"/>
        </w:rPr>
      </w:pPr>
      <w:bookmarkStart w:id="609" w:name="_Toc137"/>
      <w:bookmarkStart w:id="610" w:name="_Toc9790"/>
      <w:bookmarkStart w:id="611" w:name="_Toc31300"/>
      <w:bookmarkStart w:id="612" w:name="_Toc6395"/>
      <w:r>
        <w:rPr>
          <w:rFonts w:hint="eastAsia"/>
          <w:color w:val="auto"/>
          <w:highlight w:val="none"/>
          <w:lang w:val="en-US" w:eastAsia="zh-CN"/>
        </w:rPr>
        <w:t>工业数据加工</w:t>
      </w:r>
      <w:bookmarkEnd w:id="609"/>
      <w:bookmarkEnd w:id="610"/>
      <w:bookmarkEnd w:id="611"/>
      <w:bookmarkEnd w:id="612"/>
    </w:p>
    <w:p>
      <w:pPr>
        <w:pStyle w:val="27"/>
        <w:bidi w:val="0"/>
        <w:outlineLvl w:val="2"/>
        <w:rPr>
          <w:rFonts w:hint="default"/>
          <w:color w:val="auto"/>
          <w:highlight w:val="none"/>
          <w:lang w:val="en-US" w:eastAsia="zh-CN"/>
        </w:rPr>
      </w:pPr>
      <w:bookmarkStart w:id="613" w:name="_Toc31947"/>
      <w:bookmarkStart w:id="614" w:name="_Toc32449"/>
      <w:bookmarkStart w:id="615" w:name="_Toc31024"/>
      <w:bookmarkStart w:id="616" w:name="_Toc28802"/>
      <w:bookmarkStart w:id="617" w:name="_Toc24543"/>
      <w:bookmarkStart w:id="618" w:name="_Toc27872"/>
      <w:bookmarkStart w:id="619" w:name="_Toc21902"/>
      <w:bookmarkStart w:id="620" w:name="_Toc1769"/>
      <w:bookmarkStart w:id="621" w:name="_Toc7378"/>
      <w:r>
        <w:rPr>
          <w:rFonts w:hint="eastAsia"/>
          <w:color w:val="auto"/>
          <w:highlight w:val="none"/>
          <w:lang w:val="en-US" w:eastAsia="zh-CN"/>
        </w:rPr>
        <w:t>一般数据</w:t>
      </w:r>
      <w:bookmarkEnd w:id="613"/>
      <w:bookmarkEnd w:id="614"/>
      <w:bookmarkEnd w:id="615"/>
      <w:bookmarkEnd w:id="616"/>
      <w:bookmarkEnd w:id="617"/>
      <w:bookmarkEnd w:id="618"/>
      <w:bookmarkEnd w:id="619"/>
      <w:bookmarkEnd w:id="620"/>
      <w:bookmarkEnd w:id="621"/>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一般数据加工的安全防护要求如下</w:t>
      </w:r>
      <w:r>
        <w:rPr>
          <w:rFonts w:hint="eastAsia" w:ascii="宋体" w:hAnsi="宋体"/>
          <w:color w:val="auto"/>
          <w:highlight w:val="none"/>
          <w:lang w:val="en-US" w:eastAsia="zh-CN"/>
        </w:rPr>
        <w:t>：</w:t>
      </w:r>
    </w:p>
    <w:p>
      <w:pPr>
        <w:numPr>
          <w:ilvl w:val="0"/>
          <w:numId w:val="81"/>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应对数据的访问权限和实际访问控制情况进行定期审计，至少每半年对访问权限规则和已授权清单进行一次复核，定期清理已失效的账号和授权。</w:t>
      </w:r>
    </w:p>
    <w:p>
      <w:pPr>
        <w:numPr>
          <w:ilvl w:val="0"/>
          <w:numId w:val="81"/>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应建立数据导入导出过程保护和回退机制，在导入导出过程中发生问题时应能够有效还原和恢复数据。</w:t>
      </w:r>
    </w:p>
    <w:p>
      <w:pPr>
        <w:numPr>
          <w:ilvl w:val="0"/>
          <w:numId w:val="81"/>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利用数据进行自动化决策的，应保证决策的透明度和结果公平合理。</w:t>
      </w:r>
    </w:p>
    <w:p>
      <w:pPr>
        <w:numPr>
          <w:ilvl w:val="0"/>
          <w:numId w:val="81"/>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应对数据挖掘，关联分析等工业数据使用行为进行记录。</w:t>
      </w:r>
    </w:p>
    <w:p>
      <w:pPr>
        <w:numPr>
          <w:ilvl w:val="0"/>
          <w:numId w:val="81"/>
        </w:numPr>
        <w:spacing w:line="360" w:lineRule="auto"/>
        <w:ind w:left="840" w:leftChars="0" w:hanging="420" w:firstLineChars="0"/>
        <w:rPr>
          <w:rFonts w:hint="eastAsia"/>
          <w:highlight w:val="none"/>
          <w:lang w:val="en-US" w:eastAsia="zh-CN"/>
        </w:rPr>
      </w:pPr>
      <w:r>
        <w:rPr>
          <w:rFonts w:hint="eastAsia"/>
          <w:color w:val="auto"/>
          <w:highlight w:val="none"/>
          <w:lang w:val="en-US" w:eastAsia="zh-CN"/>
        </w:rPr>
        <w:t>应在不影响工业数据加工与分析的情况下，对数据脱敏后再进行处理。</w:t>
      </w:r>
    </w:p>
    <w:p>
      <w:pPr>
        <w:pStyle w:val="27"/>
        <w:bidi w:val="0"/>
        <w:outlineLvl w:val="2"/>
        <w:rPr>
          <w:rFonts w:hint="default"/>
          <w:color w:val="auto"/>
          <w:highlight w:val="none"/>
          <w:lang w:val="en-US" w:eastAsia="zh-CN"/>
        </w:rPr>
      </w:pPr>
      <w:bookmarkStart w:id="622" w:name="_Toc2997"/>
      <w:bookmarkStart w:id="623" w:name="_Toc11962"/>
      <w:bookmarkStart w:id="624" w:name="_Toc12104"/>
      <w:bookmarkStart w:id="625" w:name="_Toc30189"/>
      <w:bookmarkStart w:id="626" w:name="_Toc17515"/>
      <w:bookmarkStart w:id="627" w:name="_Toc5963"/>
      <w:bookmarkStart w:id="628" w:name="_Toc286"/>
      <w:bookmarkStart w:id="629" w:name="_Toc3201"/>
      <w:bookmarkStart w:id="630" w:name="_Toc24103"/>
      <w:r>
        <w:rPr>
          <w:rFonts w:hint="eastAsia"/>
          <w:color w:val="auto"/>
          <w:highlight w:val="none"/>
          <w:lang w:val="en-US" w:eastAsia="zh-CN"/>
        </w:rPr>
        <w:t>重要数据</w:t>
      </w:r>
      <w:bookmarkEnd w:id="622"/>
      <w:bookmarkEnd w:id="623"/>
      <w:bookmarkEnd w:id="624"/>
      <w:bookmarkEnd w:id="625"/>
      <w:bookmarkEnd w:id="626"/>
      <w:bookmarkEnd w:id="627"/>
      <w:bookmarkEnd w:id="628"/>
      <w:bookmarkEnd w:id="629"/>
      <w:bookmarkEnd w:id="630"/>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重要数据加工在</w:t>
      </w:r>
      <w:r>
        <w:rPr>
          <w:rFonts w:hint="eastAsia" w:ascii="宋体" w:hAnsi="宋体" w:eastAsia="宋体" w:cs="宋体"/>
          <w:color w:val="auto"/>
          <w:highlight w:val="none"/>
          <w:lang w:val="en-US" w:eastAsia="zh-CN"/>
        </w:rPr>
        <w:t>9</w:t>
      </w:r>
      <w:r>
        <w:rPr>
          <w:rFonts w:hint="eastAsia"/>
          <w:color w:val="auto"/>
          <w:highlight w:val="none"/>
          <w:lang w:val="en-US" w:eastAsia="zh-CN"/>
        </w:rPr>
        <w:t>.</w:t>
      </w:r>
      <w:r>
        <w:rPr>
          <w:rFonts w:hint="eastAsia" w:ascii="宋体" w:hAnsi="宋体" w:eastAsia="宋体" w:cs="宋体"/>
          <w:color w:val="auto"/>
          <w:highlight w:val="none"/>
          <w:lang w:val="en-US" w:eastAsia="zh-CN"/>
        </w:rPr>
        <w:t>4</w:t>
      </w:r>
      <w:r>
        <w:rPr>
          <w:rFonts w:hint="eastAsia"/>
          <w:color w:val="auto"/>
          <w:highlight w:val="none"/>
          <w:lang w:val="en-US" w:eastAsia="zh-CN"/>
        </w:rPr>
        <w:t>.</w:t>
      </w:r>
      <w:r>
        <w:rPr>
          <w:rFonts w:hint="eastAsia" w:ascii="宋体" w:hAnsi="宋体" w:eastAsia="宋体" w:cs="宋体"/>
          <w:color w:val="auto"/>
          <w:highlight w:val="none"/>
          <w:lang w:val="en-US" w:eastAsia="zh-CN"/>
        </w:rPr>
        <w:t>1</w:t>
      </w:r>
      <w:r>
        <w:rPr>
          <w:rFonts w:hint="eastAsia"/>
          <w:color w:val="auto"/>
          <w:highlight w:val="none"/>
          <w:lang w:val="en-US" w:eastAsia="zh-CN"/>
        </w:rPr>
        <w:t>的基础上还应满足以下要求</w:t>
      </w:r>
      <w:r>
        <w:rPr>
          <w:rFonts w:hint="eastAsia" w:ascii="宋体" w:hAnsi="宋体"/>
          <w:color w:val="auto"/>
          <w:highlight w:val="none"/>
          <w:lang w:val="en-US" w:eastAsia="zh-CN"/>
        </w:rPr>
        <w:t>：</w:t>
      </w:r>
    </w:p>
    <w:p>
      <w:pPr>
        <w:numPr>
          <w:ilvl w:val="0"/>
          <w:numId w:val="8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应对数据的加工行为进行访问控制，包括身份认证和授权等。</w:t>
      </w:r>
    </w:p>
    <w:p>
      <w:pPr>
        <w:numPr>
          <w:ilvl w:val="0"/>
          <w:numId w:val="8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应避免将挖掘算法产生的中间过程数据与原始工业数据存储于同一逻辑空间。</w:t>
      </w:r>
    </w:p>
    <w:p>
      <w:pPr>
        <w:numPr>
          <w:ilvl w:val="0"/>
          <w:numId w:val="8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应明确原始工业数据加工过程中的数据获取方式、访问接口、授权机制、逻辑安全、处理结果安全等内容，并周期性的检查用户操作数据的情况，统一管理工业数据使用权限。</w:t>
      </w:r>
    </w:p>
    <w:p>
      <w:pPr>
        <w:numPr>
          <w:ilvl w:val="0"/>
          <w:numId w:val="8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应采用恶意代码检测、身份鉴别、访问控制等技术手段保障处理数据的平台、系统、工具、</w:t>
      </w:r>
      <w:r>
        <w:rPr>
          <w:rFonts w:hint="eastAsia" w:ascii="宋体" w:hAnsi="宋体"/>
          <w:color w:val="auto"/>
          <w:highlight w:val="none"/>
          <w:lang w:val="en-US" w:eastAsia="zh-CN"/>
        </w:rPr>
        <w:t>APP</w:t>
      </w:r>
      <w:r>
        <w:rPr>
          <w:rFonts w:hint="eastAsia"/>
          <w:color w:val="auto"/>
          <w:highlight w:val="none"/>
          <w:lang w:val="en-US" w:eastAsia="zh-CN"/>
        </w:rPr>
        <w:t>等安全。</w:t>
      </w:r>
    </w:p>
    <w:p>
      <w:pPr>
        <w:numPr>
          <w:ilvl w:val="0"/>
          <w:numId w:val="8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应对数据的加工进行记录和审计，并形成审计日志，日志至少包含明确的主体，客体、操作时间、具体操作类型、操作结果等。</w:t>
      </w:r>
    </w:p>
    <w:p>
      <w:pPr>
        <w:numPr>
          <w:ilvl w:val="0"/>
          <w:numId w:val="8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应对原始数据和挖掘结果进行标识防止数据被恶意删除、篡改、滥用。</w:t>
      </w:r>
    </w:p>
    <w:p>
      <w:pPr>
        <w:numPr>
          <w:ilvl w:val="0"/>
          <w:numId w:val="8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应在不影响工业数据加工的情况下，对数据脱敏后再进行处理。</w:t>
      </w:r>
    </w:p>
    <w:p>
      <w:pPr>
        <w:pStyle w:val="27"/>
        <w:bidi w:val="0"/>
        <w:outlineLvl w:val="2"/>
        <w:rPr>
          <w:rFonts w:hint="default"/>
          <w:color w:val="auto"/>
          <w:highlight w:val="none"/>
          <w:lang w:val="en-US" w:eastAsia="zh-CN"/>
        </w:rPr>
      </w:pPr>
      <w:bookmarkStart w:id="631" w:name="_Toc14769"/>
      <w:bookmarkStart w:id="632" w:name="_Toc8491"/>
      <w:bookmarkStart w:id="633" w:name="_Toc93"/>
      <w:bookmarkStart w:id="634" w:name="_Toc10375"/>
      <w:bookmarkStart w:id="635" w:name="_Toc24250"/>
      <w:bookmarkStart w:id="636" w:name="_Toc17730"/>
      <w:bookmarkStart w:id="637" w:name="_Toc22475"/>
      <w:bookmarkStart w:id="638" w:name="_Toc31846"/>
      <w:bookmarkStart w:id="639" w:name="_Toc24649"/>
      <w:r>
        <w:rPr>
          <w:rFonts w:hint="eastAsia"/>
          <w:color w:val="auto"/>
          <w:highlight w:val="none"/>
          <w:lang w:val="en-US" w:eastAsia="zh-CN"/>
        </w:rPr>
        <w:t>核心数据</w:t>
      </w:r>
      <w:bookmarkEnd w:id="631"/>
      <w:bookmarkEnd w:id="632"/>
      <w:bookmarkEnd w:id="633"/>
      <w:bookmarkEnd w:id="634"/>
      <w:bookmarkEnd w:id="635"/>
      <w:bookmarkEnd w:id="636"/>
      <w:bookmarkEnd w:id="637"/>
      <w:bookmarkEnd w:id="638"/>
      <w:bookmarkEnd w:id="639"/>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核心数据加工在</w:t>
      </w:r>
      <w:r>
        <w:rPr>
          <w:rFonts w:hint="eastAsia" w:ascii="宋体" w:hAnsi="宋体" w:eastAsia="宋体" w:cs="宋体"/>
          <w:color w:val="auto"/>
          <w:highlight w:val="none"/>
          <w:lang w:val="en-US" w:eastAsia="zh-CN"/>
        </w:rPr>
        <w:t>9</w:t>
      </w:r>
      <w:r>
        <w:rPr>
          <w:rFonts w:hint="eastAsia"/>
          <w:color w:val="auto"/>
          <w:highlight w:val="none"/>
          <w:lang w:val="en-US" w:eastAsia="zh-CN"/>
        </w:rPr>
        <w:t>.</w:t>
      </w:r>
      <w:r>
        <w:rPr>
          <w:rFonts w:hint="eastAsia" w:ascii="宋体" w:hAnsi="宋体" w:eastAsia="宋体" w:cs="宋体"/>
          <w:color w:val="auto"/>
          <w:highlight w:val="none"/>
          <w:lang w:val="en-US" w:eastAsia="zh-CN"/>
        </w:rPr>
        <w:t>4</w:t>
      </w:r>
      <w:r>
        <w:rPr>
          <w:rFonts w:hint="eastAsia"/>
          <w:color w:val="auto"/>
          <w:highlight w:val="none"/>
          <w:lang w:val="en-US" w:eastAsia="zh-CN"/>
        </w:rPr>
        <w:t>.</w:t>
      </w:r>
      <w:r>
        <w:rPr>
          <w:rFonts w:hint="eastAsia" w:ascii="宋体" w:hAnsi="宋体" w:eastAsia="宋体" w:cs="宋体"/>
          <w:color w:val="auto"/>
          <w:highlight w:val="none"/>
          <w:lang w:val="en-US" w:eastAsia="zh-CN"/>
        </w:rPr>
        <w:t>2</w:t>
      </w:r>
      <w:r>
        <w:rPr>
          <w:rFonts w:hint="eastAsia"/>
          <w:color w:val="auto"/>
          <w:highlight w:val="none"/>
          <w:lang w:val="en-US" w:eastAsia="zh-CN"/>
        </w:rPr>
        <w:t>的基础上还应满足以下要求</w:t>
      </w:r>
      <w:r>
        <w:rPr>
          <w:rFonts w:hint="eastAsia" w:ascii="宋体" w:hAnsi="宋体"/>
          <w:color w:val="auto"/>
          <w:highlight w:val="none"/>
          <w:lang w:val="en-US" w:eastAsia="zh-CN"/>
        </w:rPr>
        <w:t>：</w:t>
      </w:r>
    </w:p>
    <w:p>
      <w:pPr>
        <w:numPr>
          <w:ilvl w:val="0"/>
          <w:numId w:val="83"/>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应在不影响工业数据加工与分析的情况下，对需要用到的知识机理、数字化模型、算法、工具等进行测验分析，保证工业数据加工结果的准确性和安全性。</w:t>
      </w:r>
    </w:p>
    <w:p>
      <w:pPr>
        <w:numPr>
          <w:ilvl w:val="0"/>
          <w:numId w:val="83"/>
        </w:numPr>
        <w:spacing w:line="360" w:lineRule="auto"/>
        <w:ind w:left="840" w:leftChars="0" w:hanging="420" w:firstLineChars="0"/>
        <w:rPr>
          <w:rFonts w:hint="default"/>
          <w:color w:val="auto"/>
          <w:highlight w:val="none"/>
          <w:lang w:val="en-US" w:eastAsia="zh-CN"/>
        </w:rPr>
      </w:pPr>
      <w:r>
        <w:rPr>
          <w:rFonts w:hint="eastAsia"/>
          <w:color w:val="auto"/>
          <w:highlight w:val="none"/>
          <w:lang w:val="en-US" w:eastAsia="zh-CN"/>
        </w:rPr>
        <w:t>应具备工业数据加工行为实时监控能力，在发现异常时第一时间总终止工业数据使用加工行为，并采用技术手段保证所有数据挖掘、使用、加工、分析等行为可溯源。</w:t>
      </w:r>
    </w:p>
    <w:p>
      <w:pPr>
        <w:pStyle w:val="26"/>
        <w:bidi w:val="0"/>
        <w:outlineLvl w:val="1"/>
        <w:rPr>
          <w:rFonts w:hint="default"/>
          <w:color w:val="auto"/>
          <w:highlight w:val="none"/>
          <w:lang w:val="en-US" w:eastAsia="zh-CN"/>
        </w:rPr>
      </w:pPr>
      <w:bookmarkStart w:id="640" w:name="_Toc26173"/>
      <w:bookmarkStart w:id="641" w:name="_Toc19675"/>
      <w:bookmarkStart w:id="642" w:name="_Toc4252"/>
      <w:bookmarkStart w:id="643" w:name="_Toc6550"/>
      <w:r>
        <w:rPr>
          <w:rFonts w:hint="eastAsia"/>
          <w:color w:val="auto"/>
          <w:highlight w:val="none"/>
          <w:lang w:val="en-US" w:eastAsia="zh-CN"/>
        </w:rPr>
        <w:t>工业数据传输</w:t>
      </w:r>
      <w:bookmarkEnd w:id="640"/>
      <w:bookmarkEnd w:id="641"/>
      <w:bookmarkEnd w:id="642"/>
      <w:bookmarkEnd w:id="643"/>
    </w:p>
    <w:p>
      <w:pPr>
        <w:pStyle w:val="27"/>
        <w:bidi w:val="0"/>
        <w:outlineLvl w:val="2"/>
        <w:rPr>
          <w:rFonts w:hint="default"/>
          <w:color w:val="auto"/>
          <w:highlight w:val="none"/>
          <w:lang w:val="en-US" w:eastAsia="zh-CN"/>
        </w:rPr>
      </w:pPr>
      <w:bookmarkStart w:id="644" w:name="_Toc4846"/>
      <w:bookmarkStart w:id="645" w:name="_Toc8793"/>
      <w:bookmarkStart w:id="646" w:name="_Toc17881"/>
      <w:bookmarkStart w:id="647" w:name="_Toc12098"/>
      <w:bookmarkStart w:id="648" w:name="_Toc26292"/>
      <w:bookmarkStart w:id="649" w:name="_Toc824"/>
      <w:bookmarkStart w:id="650" w:name="_Toc21711"/>
      <w:bookmarkStart w:id="651" w:name="_Toc1613"/>
      <w:bookmarkStart w:id="652" w:name="_Toc23798"/>
      <w:r>
        <w:rPr>
          <w:rFonts w:hint="eastAsia"/>
          <w:color w:val="auto"/>
          <w:highlight w:val="none"/>
          <w:lang w:val="en-US" w:eastAsia="zh-CN"/>
        </w:rPr>
        <w:t>一般数据</w:t>
      </w:r>
      <w:bookmarkEnd w:id="644"/>
      <w:bookmarkEnd w:id="645"/>
      <w:bookmarkEnd w:id="646"/>
      <w:bookmarkEnd w:id="647"/>
      <w:bookmarkEnd w:id="648"/>
      <w:bookmarkEnd w:id="649"/>
      <w:bookmarkEnd w:id="650"/>
      <w:bookmarkEnd w:id="651"/>
      <w:bookmarkEnd w:id="652"/>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一般数据传输安全防护要求如下</w:t>
      </w:r>
      <w:r>
        <w:rPr>
          <w:rFonts w:hint="eastAsia" w:ascii="宋体" w:hAnsi="宋体"/>
          <w:color w:val="auto"/>
          <w:highlight w:val="none"/>
          <w:lang w:val="en-US" w:eastAsia="zh-CN"/>
        </w:rPr>
        <w:t>：</w:t>
      </w:r>
    </w:p>
    <w:p>
      <w:pPr>
        <w:numPr>
          <w:ilvl w:val="0"/>
          <w:numId w:val="84"/>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应采用数据加密、数据脱敏、校验技术、安全传输通道或者安全传输协议等措施保证工业数据传输安全。</w:t>
      </w:r>
    </w:p>
    <w:p>
      <w:pPr>
        <w:numPr>
          <w:ilvl w:val="0"/>
          <w:numId w:val="84"/>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实时控制系统工业数据传输，应使用独立的网络设备组网，在物理层面上实现与其他数据网络及外部公共信息网络的安全隔离。</w:t>
      </w:r>
    </w:p>
    <w:p>
      <w:pPr>
        <w:numPr>
          <w:ilvl w:val="0"/>
          <w:numId w:val="84"/>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对于工业互联网平台数据，应保证平台客户可以根据业务需求自主选择边界数据的交换方式。</w:t>
      </w:r>
    </w:p>
    <w:p>
      <w:pPr>
        <w:pStyle w:val="27"/>
        <w:bidi w:val="0"/>
        <w:outlineLvl w:val="2"/>
        <w:rPr>
          <w:rFonts w:hint="default"/>
          <w:color w:val="auto"/>
          <w:highlight w:val="none"/>
          <w:lang w:val="en-US" w:eastAsia="zh-CN"/>
        </w:rPr>
      </w:pPr>
      <w:bookmarkStart w:id="653" w:name="_Toc10257"/>
      <w:bookmarkStart w:id="654" w:name="_Toc5055"/>
      <w:bookmarkStart w:id="655" w:name="_Toc10099"/>
      <w:bookmarkStart w:id="656" w:name="_Toc16701"/>
      <w:bookmarkStart w:id="657" w:name="_Toc5798"/>
      <w:bookmarkStart w:id="658" w:name="_Toc8482"/>
      <w:bookmarkStart w:id="659" w:name="_Toc6531"/>
      <w:bookmarkStart w:id="660" w:name="_Toc5861"/>
      <w:bookmarkStart w:id="661" w:name="_Toc11429"/>
      <w:r>
        <w:rPr>
          <w:rFonts w:hint="eastAsia"/>
          <w:color w:val="auto"/>
          <w:highlight w:val="none"/>
          <w:lang w:val="en-US" w:eastAsia="zh-CN"/>
        </w:rPr>
        <w:t>重要数据</w:t>
      </w:r>
      <w:bookmarkEnd w:id="653"/>
      <w:bookmarkEnd w:id="654"/>
      <w:bookmarkEnd w:id="655"/>
      <w:bookmarkEnd w:id="656"/>
      <w:bookmarkEnd w:id="657"/>
      <w:bookmarkEnd w:id="658"/>
      <w:bookmarkEnd w:id="659"/>
      <w:bookmarkEnd w:id="660"/>
      <w:bookmarkEnd w:id="661"/>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重要数据传输在</w:t>
      </w:r>
      <w:r>
        <w:rPr>
          <w:rFonts w:hint="eastAsia" w:ascii="宋体" w:hAnsi="宋体" w:eastAsia="宋体" w:cs="宋体"/>
          <w:color w:val="auto"/>
          <w:highlight w:val="none"/>
          <w:lang w:val="en-US" w:eastAsia="zh-CN"/>
        </w:rPr>
        <w:t>9</w:t>
      </w:r>
      <w:r>
        <w:rPr>
          <w:rFonts w:hint="eastAsia"/>
          <w:color w:val="auto"/>
          <w:highlight w:val="none"/>
          <w:lang w:val="en-US" w:eastAsia="zh-CN"/>
        </w:rPr>
        <w:t>.</w:t>
      </w:r>
      <w:r>
        <w:rPr>
          <w:rFonts w:hint="eastAsia" w:ascii="宋体" w:hAnsi="宋体" w:eastAsia="宋体" w:cs="宋体"/>
          <w:color w:val="auto"/>
          <w:highlight w:val="none"/>
          <w:lang w:val="en-US" w:eastAsia="zh-CN"/>
        </w:rPr>
        <w:t>5</w:t>
      </w:r>
      <w:r>
        <w:rPr>
          <w:rFonts w:hint="eastAsia"/>
          <w:color w:val="auto"/>
          <w:highlight w:val="none"/>
          <w:lang w:val="en-US" w:eastAsia="zh-CN"/>
        </w:rPr>
        <w:t>.</w:t>
      </w:r>
      <w:r>
        <w:rPr>
          <w:rFonts w:hint="eastAsia" w:ascii="宋体" w:hAnsi="宋体" w:eastAsia="宋体" w:cs="宋体"/>
          <w:color w:val="auto"/>
          <w:highlight w:val="none"/>
          <w:lang w:val="en-US" w:eastAsia="zh-CN"/>
        </w:rPr>
        <w:t>1</w:t>
      </w:r>
      <w:r>
        <w:rPr>
          <w:rFonts w:hint="eastAsia"/>
          <w:color w:val="auto"/>
          <w:highlight w:val="none"/>
          <w:lang w:val="en-US" w:eastAsia="zh-CN"/>
        </w:rPr>
        <w:t>的基础上还应满足以下要求</w:t>
      </w:r>
      <w:r>
        <w:rPr>
          <w:rFonts w:hint="eastAsia" w:ascii="宋体" w:hAnsi="宋体"/>
          <w:color w:val="auto"/>
          <w:highlight w:val="none"/>
          <w:lang w:val="en-US" w:eastAsia="zh-CN"/>
        </w:rPr>
        <w:t>：</w:t>
      </w:r>
    </w:p>
    <w:p>
      <w:pPr>
        <w:numPr>
          <w:ilvl w:val="0"/>
          <w:numId w:val="8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应采用数字签名等技术，保证工业工业数据传输过程中的机密性、完整性、可用性。</w:t>
      </w:r>
    </w:p>
    <w:p>
      <w:pPr>
        <w:numPr>
          <w:ilvl w:val="0"/>
          <w:numId w:val="8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应能够检测到数据在传输过程中机密性、完整性、可用性受到破坏，并在检测到数据被破坏时，采取必要的恢复措施。</w:t>
      </w:r>
    </w:p>
    <w:p>
      <w:pPr>
        <w:numPr>
          <w:ilvl w:val="0"/>
          <w:numId w:val="8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应采用</w:t>
      </w:r>
      <w:r>
        <w:rPr>
          <w:rFonts w:hint="eastAsia" w:ascii="宋体" w:hAnsi="宋体"/>
          <w:color w:val="auto"/>
          <w:highlight w:val="none"/>
          <w:lang w:val="en-US" w:eastAsia="zh-CN"/>
        </w:rPr>
        <w:t>TLS</w:t>
      </w:r>
      <w:r>
        <w:rPr>
          <w:rFonts w:hint="eastAsia"/>
          <w:color w:val="auto"/>
          <w:highlight w:val="none"/>
          <w:lang w:val="en-US" w:eastAsia="zh-CN"/>
        </w:rPr>
        <w:t>/</w:t>
      </w:r>
      <w:r>
        <w:rPr>
          <w:rFonts w:hint="eastAsia" w:ascii="宋体" w:hAnsi="宋体"/>
          <w:color w:val="auto"/>
          <w:highlight w:val="none"/>
          <w:lang w:val="en-US" w:eastAsia="zh-CN"/>
        </w:rPr>
        <w:t>TLCP</w:t>
      </w:r>
      <w:r>
        <w:rPr>
          <w:rFonts w:hint="eastAsia"/>
          <w:color w:val="auto"/>
          <w:highlight w:val="none"/>
          <w:lang w:val="en-US" w:eastAsia="zh-CN"/>
        </w:rPr>
        <w:t>等安全协议进行工业数据传输。</w:t>
      </w:r>
    </w:p>
    <w:p>
      <w:pPr>
        <w:numPr>
          <w:ilvl w:val="0"/>
          <w:numId w:val="8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应在数据迁移前对数据开展本地备份及恢复相关工作，做好数据迁移安全评估与安全控制，防止迁移过程中因突发状况导致数据丢失，避免影响业务应用的连续性。</w:t>
      </w:r>
    </w:p>
    <w:p>
      <w:pPr>
        <w:numPr>
          <w:ilvl w:val="0"/>
          <w:numId w:val="8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应在数据迁移、上云、跨境等传输过程中，开展数据安全监测，能够对网络流量行为、攻击威胁、数据泄露或篡改等进行分析和研判。</w:t>
      </w:r>
    </w:p>
    <w:p>
      <w:pPr>
        <w:numPr>
          <w:ilvl w:val="0"/>
          <w:numId w:val="8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应使用校验或密码技术保证工业互联网平台等数据载体间数据迁移过程的完整性。</w:t>
      </w:r>
    </w:p>
    <w:p>
      <w:pPr>
        <w:numPr>
          <w:ilvl w:val="0"/>
          <w:numId w:val="8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应具备工业数据传输异常检测技术能力，对陌生</w:t>
      </w:r>
      <w:r>
        <w:rPr>
          <w:rFonts w:hint="eastAsia" w:ascii="宋体" w:hAnsi="宋体"/>
          <w:color w:val="auto"/>
          <w:highlight w:val="none"/>
          <w:lang w:val="en-US" w:eastAsia="zh-CN"/>
        </w:rPr>
        <w:t>IP</w:t>
      </w:r>
      <w:r>
        <w:rPr>
          <w:rFonts w:hint="eastAsia"/>
          <w:color w:val="auto"/>
          <w:highlight w:val="none"/>
          <w:lang w:val="en-US" w:eastAsia="zh-CN"/>
        </w:rPr>
        <w:t>地址、数据库异常连接等进行实时告警，在检测到数据遭破坏时及时采取恢复措施。</w:t>
      </w:r>
    </w:p>
    <w:p>
      <w:pPr>
        <w:numPr>
          <w:ilvl w:val="0"/>
          <w:numId w:val="85"/>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涉及跨组织机构或者使用公共信息网络进行工业数据传输的，应建立内部登记、审批机制。</w:t>
      </w:r>
    </w:p>
    <w:p>
      <w:pPr>
        <w:pStyle w:val="27"/>
        <w:bidi w:val="0"/>
        <w:outlineLvl w:val="2"/>
        <w:rPr>
          <w:rFonts w:hint="default"/>
          <w:color w:val="auto"/>
          <w:highlight w:val="none"/>
          <w:lang w:val="en-US" w:eastAsia="zh-CN"/>
        </w:rPr>
      </w:pPr>
      <w:bookmarkStart w:id="662" w:name="_Toc6088"/>
      <w:bookmarkStart w:id="663" w:name="_Toc5879"/>
      <w:bookmarkStart w:id="664" w:name="_Toc10752"/>
      <w:bookmarkStart w:id="665" w:name="_Toc27262"/>
      <w:bookmarkStart w:id="666" w:name="_Toc2910"/>
      <w:bookmarkStart w:id="667" w:name="_Toc2540"/>
      <w:bookmarkStart w:id="668" w:name="_Toc28469"/>
      <w:bookmarkStart w:id="669" w:name="_Toc19062"/>
      <w:bookmarkStart w:id="670" w:name="_Toc20314"/>
      <w:r>
        <w:rPr>
          <w:rFonts w:hint="eastAsia"/>
          <w:color w:val="auto"/>
          <w:highlight w:val="none"/>
          <w:lang w:val="en-US" w:eastAsia="zh-CN"/>
        </w:rPr>
        <w:t>核心数据</w:t>
      </w:r>
      <w:bookmarkEnd w:id="662"/>
      <w:bookmarkEnd w:id="663"/>
      <w:bookmarkEnd w:id="664"/>
      <w:bookmarkEnd w:id="665"/>
      <w:bookmarkEnd w:id="666"/>
      <w:bookmarkEnd w:id="667"/>
      <w:bookmarkEnd w:id="668"/>
      <w:bookmarkEnd w:id="669"/>
      <w:bookmarkEnd w:id="670"/>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核心数据传输在</w:t>
      </w:r>
      <w:r>
        <w:rPr>
          <w:rFonts w:hint="eastAsia" w:ascii="宋体" w:hAnsi="宋体" w:eastAsia="宋体" w:cs="宋体"/>
          <w:color w:val="auto"/>
          <w:highlight w:val="none"/>
          <w:lang w:val="en-US" w:eastAsia="zh-CN"/>
        </w:rPr>
        <w:t>9</w:t>
      </w:r>
      <w:r>
        <w:rPr>
          <w:rFonts w:hint="eastAsia"/>
          <w:color w:val="auto"/>
          <w:highlight w:val="none"/>
          <w:lang w:val="en-US" w:eastAsia="zh-CN"/>
        </w:rPr>
        <w:t>.</w:t>
      </w:r>
      <w:r>
        <w:rPr>
          <w:rFonts w:hint="eastAsia" w:ascii="宋体" w:hAnsi="宋体" w:eastAsia="宋体" w:cs="宋体"/>
          <w:color w:val="auto"/>
          <w:highlight w:val="none"/>
          <w:lang w:val="en-US" w:eastAsia="zh-CN"/>
        </w:rPr>
        <w:t>5</w:t>
      </w:r>
      <w:r>
        <w:rPr>
          <w:rFonts w:hint="eastAsia"/>
          <w:color w:val="auto"/>
          <w:highlight w:val="none"/>
          <w:lang w:val="en-US" w:eastAsia="zh-CN"/>
        </w:rPr>
        <w:t>.</w:t>
      </w:r>
      <w:r>
        <w:rPr>
          <w:rFonts w:hint="eastAsia" w:ascii="宋体" w:hAnsi="宋体" w:eastAsia="宋体" w:cs="宋体"/>
          <w:color w:val="auto"/>
          <w:highlight w:val="none"/>
          <w:lang w:val="en-US" w:eastAsia="zh-CN"/>
        </w:rPr>
        <w:t>2</w:t>
      </w:r>
      <w:r>
        <w:rPr>
          <w:rFonts w:hint="eastAsia"/>
          <w:color w:val="auto"/>
          <w:highlight w:val="none"/>
          <w:lang w:val="en-US" w:eastAsia="zh-CN"/>
        </w:rPr>
        <w:t>的基础上还应满足以下要求</w:t>
      </w:r>
      <w:r>
        <w:rPr>
          <w:rFonts w:hint="eastAsia" w:ascii="宋体" w:hAnsi="宋体"/>
          <w:color w:val="auto"/>
          <w:highlight w:val="none"/>
          <w:lang w:val="en-US" w:eastAsia="zh-CN"/>
        </w:rPr>
        <w:t>：</w:t>
      </w:r>
    </w:p>
    <w:p>
      <w:pPr>
        <w:numPr>
          <w:ilvl w:val="0"/>
          <w:numId w:val="86"/>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应具备工业数据传输实时监测处置能力，保证能够第一时间告警并阻断违规传输。</w:t>
      </w:r>
    </w:p>
    <w:p>
      <w:pPr>
        <w:numPr>
          <w:ilvl w:val="0"/>
          <w:numId w:val="86"/>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应具备数据溯源能力，保证所有工业数据传输路径可恢复，工业数据传输行为可溯源。</w:t>
      </w:r>
    </w:p>
    <w:p>
      <w:pPr>
        <w:numPr>
          <w:ilvl w:val="0"/>
          <w:numId w:val="86"/>
        </w:numPr>
        <w:spacing w:line="360" w:lineRule="auto"/>
        <w:ind w:left="840" w:leftChars="0" w:hanging="420" w:firstLineChars="0"/>
        <w:rPr>
          <w:rFonts w:hint="default"/>
          <w:color w:val="auto"/>
          <w:highlight w:val="none"/>
          <w:lang w:val="en-US" w:eastAsia="zh-CN"/>
        </w:rPr>
      </w:pPr>
      <w:r>
        <w:rPr>
          <w:rFonts w:hint="eastAsia"/>
          <w:color w:val="auto"/>
          <w:highlight w:val="none"/>
          <w:lang w:val="en-US" w:eastAsia="zh-CN"/>
        </w:rPr>
        <w:t>应采用密码技术手段实现工业数据传输的真实性、不可抵赖性和可控性。</w:t>
      </w:r>
    </w:p>
    <w:p>
      <w:pPr>
        <w:pStyle w:val="26"/>
        <w:bidi w:val="0"/>
        <w:outlineLvl w:val="1"/>
        <w:rPr>
          <w:rFonts w:hint="eastAsia"/>
          <w:color w:val="auto"/>
          <w:highlight w:val="none"/>
          <w:lang w:val="en-US" w:eastAsia="zh-CN"/>
        </w:rPr>
      </w:pPr>
      <w:bookmarkStart w:id="671" w:name="_Toc32399"/>
      <w:bookmarkStart w:id="672" w:name="_Toc9989"/>
      <w:bookmarkStart w:id="673" w:name="_Toc14118"/>
      <w:bookmarkStart w:id="674" w:name="_Toc2252"/>
      <w:r>
        <w:rPr>
          <w:rFonts w:hint="eastAsia"/>
          <w:color w:val="auto"/>
          <w:highlight w:val="none"/>
          <w:lang w:val="en-US" w:eastAsia="zh-CN"/>
        </w:rPr>
        <w:t>工业数据共享</w:t>
      </w:r>
      <w:bookmarkEnd w:id="671"/>
      <w:bookmarkEnd w:id="672"/>
      <w:bookmarkEnd w:id="673"/>
      <w:bookmarkEnd w:id="674"/>
    </w:p>
    <w:p>
      <w:pPr>
        <w:pStyle w:val="27"/>
        <w:bidi w:val="0"/>
        <w:outlineLvl w:val="2"/>
        <w:rPr>
          <w:rFonts w:hint="default"/>
          <w:color w:val="auto"/>
          <w:highlight w:val="none"/>
          <w:lang w:val="en-US" w:eastAsia="zh-CN"/>
        </w:rPr>
      </w:pPr>
      <w:bookmarkStart w:id="675" w:name="_Toc1479"/>
      <w:bookmarkStart w:id="676" w:name="_Toc25819"/>
      <w:bookmarkStart w:id="677" w:name="_Toc12725"/>
      <w:bookmarkStart w:id="678" w:name="_Toc19066"/>
      <w:bookmarkStart w:id="679" w:name="_Toc31204"/>
      <w:bookmarkStart w:id="680" w:name="_Toc4641"/>
      <w:bookmarkStart w:id="681" w:name="_Toc20443"/>
      <w:bookmarkStart w:id="682" w:name="_Toc10008"/>
      <w:bookmarkStart w:id="683" w:name="_Toc6971"/>
      <w:r>
        <w:rPr>
          <w:rFonts w:hint="eastAsia"/>
          <w:color w:val="auto"/>
          <w:highlight w:val="none"/>
          <w:lang w:val="en-US" w:eastAsia="zh-CN"/>
        </w:rPr>
        <w:t>一般数据</w:t>
      </w:r>
      <w:bookmarkEnd w:id="675"/>
      <w:bookmarkEnd w:id="676"/>
      <w:bookmarkEnd w:id="677"/>
      <w:bookmarkEnd w:id="678"/>
      <w:bookmarkEnd w:id="679"/>
      <w:bookmarkEnd w:id="680"/>
      <w:bookmarkEnd w:id="681"/>
      <w:bookmarkEnd w:id="682"/>
      <w:bookmarkEnd w:id="683"/>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一般数据共享安全防护要求如下</w:t>
      </w:r>
      <w:r>
        <w:rPr>
          <w:rFonts w:hint="eastAsia" w:ascii="宋体" w:hAnsi="宋体"/>
          <w:color w:val="auto"/>
          <w:highlight w:val="none"/>
          <w:lang w:val="en-US" w:eastAsia="zh-CN"/>
        </w:rPr>
        <w:t>：</w:t>
      </w:r>
    </w:p>
    <w:p>
      <w:pPr>
        <w:numPr>
          <w:ilvl w:val="0"/>
          <w:numId w:val="87"/>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应对工业数据按照数据</w:t>
      </w:r>
      <w:r>
        <w:rPr>
          <w:rFonts w:hint="eastAsia" w:eastAsia="宋体"/>
          <w:color w:val="auto"/>
          <w:highlight w:val="none"/>
          <w:lang w:val="en-US" w:eastAsia="zh-CN"/>
        </w:rPr>
        <w:t>共享</w:t>
      </w:r>
      <w:r>
        <w:rPr>
          <w:rFonts w:hint="eastAsia"/>
          <w:color w:val="auto"/>
          <w:highlight w:val="none"/>
          <w:lang w:val="en-US" w:eastAsia="zh-CN"/>
        </w:rPr>
        <w:t>属性进行分类。</w:t>
      </w:r>
    </w:p>
    <w:p>
      <w:pPr>
        <w:numPr>
          <w:ilvl w:val="0"/>
          <w:numId w:val="87"/>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对于分类属性为</w:t>
      </w:r>
      <w:r>
        <w:rPr>
          <w:rFonts w:hint="eastAsia" w:eastAsia="宋体"/>
          <w:color w:val="auto"/>
          <w:highlight w:val="none"/>
          <w:lang w:val="en-US" w:eastAsia="zh-CN"/>
        </w:rPr>
        <w:t>不共享</w:t>
      </w:r>
      <w:r>
        <w:rPr>
          <w:rFonts w:hint="eastAsia"/>
          <w:color w:val="auto"/>
          <w:highlight w:val="none"/>
          <w:lang w:val="en-US" w:eastAsia="zh-CN"/>
        </w:rPr>
        <w:t>的数据，不得</w:t>
      </w:r>
      <w:r>
        <w:rPr>
          <w:rFonts w:hint="eastAsia" w:eastAsia="宋体"/>
          <w:color w:val="auto"/>
          <w:highlight w:val="none"/>
          <w:lang w:val="en-US" w:eastAsia="zh-CN"/>
        </w:rPr>
        <w:t>共享</w:t>
      </w:r>
      <w:r>
        <w:rPr>
          <w:rFonts w:hint="eastAsia"/>
          <w:color w:val="auto"/>
          <w:highlight w:val="none"/>
          <w:lang w:val="en-US" w:eastAsia="zh-CN"/>
        </w:rPr>
        <w:t>。</w:t>
      </w:r>
    </w:p>
    <w:p>
      <w:pPr>
        <w:numPr>
          <w:ilvl w:val="0"/>
          <w:numId w:val="87"/>
        </w:numPr>
        <w:spacing w:line="360" w:lineRule="auto"/>
        <w:ind w:left="840" w:hanging="420"/>
        <w:rPr>
          <w:rFonts w:hint="eastAsia"/>
          <w:lang w:val="en-US" w:eastAsia="zh-CN"/>
        </w:rPr>
      </w:pPr>
      <w:r>
        <w:rPr>
          <w:rFonts w:hint="eastAsia" w:eastAsia="宋体"/>
          <w:color w:val="auto"/>
          <w:highlight w:val="none"/>
          <w:lang w:val="en-US" w:eastAsia="zh-CN"/>
        </w:rPr>
        <w:t>对于分类属性为受限共享、无条件共享的数据应满足以下要求：</w:t>
      </w:r>
    </w:p>
    <w:p>
      <w:pPr>
        <w:pStyle w:val="25"/>
        <w:widowControl/>
        <w:numPr>
          <w:ilvl w:val="0"/>
          <w:numId w:val="88"/>
        </w:numPr>
        <w:tabs>
          <w:tab w:val="clear" w:pos="0"/>
        </w:tabs>
        <w:autoSpaceDE w:val="0"/>
        <w:autoSpaceDN w:val="0"/>
        <w:spacing w:line="360" w:lineRule="auto"/>
        <w:ind w:left="1259" w:leftChars="0" w:hanging="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应明确数据共享的安全规范，从国家安全、组织机构的核心价值保护、个人信息保护等方面对数据共享的风险控制提出要求，明确相应的权限审批和授权流程，并根据不同场景下数据共享制定细化的规范要求。</w:t>
      </w:r>
    </w:p>
    <w:p>
      <w:pPr>
        <w:pStyle w:val="25"/>
        <w:widowControl/>
        <w:numPr>
          <w:ilvl w:val="0"/>
          <w:numId w:val="88"/>
        </w:numPr>
        <w:tabs>
          <w:tab w:val="clear" w:pos="0"/>
        </w:tabs>
        <w:autoSpaceDE w:val="0"/>
        <w:autoSpaceDN w:val="0"/>
        <w:spacing w:line="360" w:lineRule="auto"/>
        <w:ind w:left="1259" w:leftChars="0" w:hanging="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需建立工业数据共享的审核流程，包括共享的数据内容、涉及的部门和组织、授权审批同意/否决、归档记录等。尤其对于向外部提供的共享数据，一定要有严格的审核流程。</w:t>
      </w:r>
    </w:p>
    <w:p>
      <w:pPr>
        <w:pStyle w:val="25"/>
        <w:widowControl/>
        <w:numPr>
          <w:ilvl w:val="0"/>
          <w:numId w:val="88"/>
        </w:numPr>
        <w:tabs>
          <w:tab w:val="clear" w:pos="0"/>
        </w:tabs>
        <w:autoSpaceDE w:val="0"/>
        <w:autoSpaceDN w:val="0"/>
        <w:spacing w:line="360" w:lineRule="auto"/>
        <w:ind w:left="1259"/>
        <w:rPr>
          <w:rFonts w:hint="eastAsia"/>
          <w:lang w:val="en-US" w:eastAsia="zh-CN"/>
        </w:rPr>
      </w:pPr>
      <w:r>
        <w:rPr>
          <w:rFonts w:hint="eastAsia" w:ascii="宋体" w:hAnsi="宋体" w:eastAsia="宋体" w:cs="宋体"/>
          <w:color w:val="auto"/>
          <w:szCs w:val="21"/>
          <w:highlight w:val="none"/>
          <w:lang w:val="en-US" w:eastAsia="zh-CN"/>
        </w:rPr>
        <w:t>组织需在工业数据共享的各个阶段加入安全审计机制，严格、详细地记录并保存工业数据共享的所有操作和行为，为工业数据共享安全事件的处置、应急响应和事后调查提供帮助。同时，工业数据共享安全管理部门需设置专人定期对工业数据共享相关的日志记录进行安全审计，发布审计报告，并跟进审计中发现的异常。</w:t>
      </w:r>
    </w:p>
    <w:p>
      <w:pPr>
        <w:pStyle w:val="25"/>
        <w:widowControl/>
        <w:numPr>
          <w:ilvl w:val="0"/>
          <w:numId w:val="88"/>
        </w:numPr>
        <w:tabs>
          <w:tab w:val="clear" w:pos="0"/>
        </w:tabs>
        <w:autoSpaceDE w:val="0"/>
        <w:autoSpaceDN w:val="0"/>
        <w:spacing w:line="360" w:lineRule="auto"/>
        <w:ind w:left="1259" w:leftChars="0" w:hanging="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应在工业数据共享前对工业数据共享的必要性、范围、规模、方式等进行分析研判，研判结果为可以共享的，应根据需要采取合适方法对数据进行脱敏处理，保证工业数据共享安全。</w:t>
      </w:r>
    </w:p>
    <w:p>
      <w:pPr>
        <w:pStyle w:val="25"/>
        <w:widowControl/>
        <w:numPr>
          <w:ilvl w:val="0"/>
          <w:numId w:val="88"/>
        </w:numPr>
        <w:tabs>
          <w:tab w:val="clear" w:pos="0"/>
        </w:tabs>
        <w:autoSpaceDE w:val="0"/>
        <w:autoSpaceDN w:val="0"/>
        <w:spacing w:line="360" w:lineRule="auto"/>
        <w:ind w:left="1259" w:leftChars="0" w:hanging="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需基于工业数据共享的场景，对所申请的共享的数据进行风险评估。如基于内部业务系统之间的共享或基于业务需要的对外共享等，根据工业数据共享涉及的数据范围、数据类型、数据内容及数据格式等评估不同场景的工业数据共享风险。</w:t>
      </w:r>
    </w:p>
    <w:p>
      <w:pPr>
        <w:pStyle w:val="27"/>
        <w:bidi w:val="0"/>
        <w:outlineLvl w:val="2"/>
        <w:rPr>
          <w:rFonts w:hint="default"/>
          <w:color w:val="auto"/>
          <w:highlight w:val="none"/>
          <w:lang w:val="en-US" w:eastAsia="zh-CN"/>
        </w:rPr>
      </w:pPr>
      <w:bookmarkStart w:id="684" w:name="_Toc7685"/>
      <w:bookmarkStart w:id="685" w:name="_Toc24499"/>
      <w:bookmarkStart w:id="686" w:name="_Toc29526"/>
      <w:bookmarkStart w:id="687" w:name="_Toc15428"/>
      <w:bookmarkStart w:id="688" w:name="_Toc6689"/>
      <w:bookmarkStart w:id="689" w:name="_Toc9884"/>
      <w:bookmarkStart w:id="690" w:name="_Toc22352"/>
      <w:bookmarkStart w:id="691" w:name="_Toc6711"/>
      <w:bookmarkStart w:id="692" w:name="_Toc10573"/>
      <w:r>
        <w:rPr>
          <w:rFonts w:hint="eastAsia"/>
          <w:color w:val="auto"/>
          <w:highlight w:val="none"/>
          <w:lang w:val="en-US" w:eastAsia="zh-CN"/>
        </w:rPr>
        <w:t>重要数据</w:t>
      </w:r>
      <w:bookmarkEnd w:id="684"/>
      <w:bookmarkEnd w:id="685"/>
      <w:bookmarkEnd w:id="686"/>
      <w:bookmarkEnd w:id="687"/>
      <w:bookmarkEnd w:id="688"/>
      <w:bookmarkEnd w:id="689"/>
      <w:bookmarkEnd w:id="690"/>
      <w:bookmarkEnd w:id="691"/>
      <w:bookmarkEnd w:id="692"/>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重要数据共享在</w:t>
      </w:r>
      <w:r>
        <w:rPr>
          <w:rFonts w:hint="eastAsia" w:ascii="宋体" w:hAnsi="宋体" w:eastAsia="宋体" w:cs="宋体"/>
          <w:color w:val="auto"/>
          <w:highlight w:val="none"/>
          <w:lang w:val="en-US" w:eastAsia="zh-CN"/>
        </w:rPr>
        <w:t>9</w:t>
      </w:r>
      <w:r>
        <w:rPr>
          <w:rFonts w:hint="eastAsia"/>
          <w:color w:val="auto"/>
          <w:highlight w:val="none"/>
          <w:lang w:val="en-US" w:eastAsia="zh-CN"/>
        </w:rPr>
        <w:t>.</w:t>
      </w:r>
      <w:r>
        <w:rPr>
          <w:rFonts w:hint="eastAsia" w:ascii="宋体" w:hAnsi="宋体" w:eastAsia="宋体" w:cs="宋体"/>
          <w:color w:val="auto"/>
          <w:highlight w:val="none"/>
          <w:lang w:val="en-US" w:eastAsia="zh-CN"/>
        </w:rPr>
        <w:t>6</w:t>
      </w:r>
      <w:r>
        <w:rPr>
          <w:rFonts w:hint="eastAsia"/>
          <w:color w:val="auto"/>
          <w:highlight w:val="none"/>
          <w:lang w:val="en-US" w:eastAsia="zh-CN"/>
        </w:rPr>
        <w:t>.</w:t>
      </w:r>
      <w:r>
        <w:rPr>
          <w:rFonts w:hint="eastAsia" w:ascii="宋体" w:hAnsi="宋体" w:eastAsia="宋体" w:cs="宋体"/>
          <w:color w:val="auto"/>
          <w:highlight w:val="none"/>
          <w:lang w:val="en-US" w:eastAsia="zh-CN"/>
        </w:rPr>
        <w:t>1</w:t>
      </w:r>
      <w:r>
        <w:rPr>
          <w:rFonts w:hint="eastAsia"/>
          <w:color w:val="auto"/>
          <w:highlight w:val="none"/>
          <w:lang w:val="en-US" w:eastAsia="zh-CN"/>
        </w:rPr>
        <w:t>的基础上还应满足以下要求</w:t>
      </w:r>
      <w:r>
        <w:rPr>
          <w:rFonts w:hint="eastAsia" w:ascii="宋体" w:hAnsi="宋体"/>
          <w:color w:val="auto"/>
          <w:highlight w:val="none"/>
          <w:lang w:val="en-US" w:eastAsia="zh-CN"/>
        </w:rPr>
        <w:t>：</w:t>
      </w:r>
    </w:p>
    <w:p>
      <w:pPr>
        <w:numPr>
          <w:ilvl w:val="0"/>
          <w:numId w:val="89"/>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应根据实际情况，采取数据水印等必要措施保证工业数据共享安全。</w:t>
      </w:r>
    </w:p>
    <w:p>
      <w:pPr>
        <w:numPr>
          <w:ilvl w:val="0"/>
          <w:numId w:val="89"/>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应采取密码技术措施对共享数据的机密性、完整性和可用性进行安全防护。如通过官网共享数据时，采取网页防篡改等技术，防范披露数据篡改风险。</w:t>
      </w:r>
    </w:p>
    <w:p>
      <w:pPr>
        <w:numPr>
          <w:ilvl w:val="0"/>
          <w:numId w:val="89"/>
        </w:numPr>
        <w:spacing w:line="360" w:lineRule="auto"/>
        <w:ind w:left="840" w:hanging="420"/>
        <w:rPr>
          <w:rFonts w:hint="eastAsia"/>
          <w:color w:val="auto"/>
          <w:highlight w:val="none"/>
          <w:lang w:val="en-US" w:eastAsia="zh-CN"/>
        </w:rPr>
      </w:pPr>
      <w:r>
        <w:rPr>
          <w:rFonts w:hint="eastAsia"/>
          <w:color w:val="auto"/>
          <w:highlight w:val="none"/>
          <w:lang w:val="en-US" w:eastAsia="zh-CN"/>
        </w:rPr>
        <w:t>对数据共享全链路各环节的权限最小化控制，比如白名单控制并对异常进程监控。</w:t>
      </w:r>
    </w:p>
    <w:p>
      <w:pPr>
        <w:numPr>
          <w:ilvl w:val="0"/>
          <w:numId w:val="89"/>
        </w:numPr>
        <w:spacing w:line="360" w:lineRule="auto"/>
        <w:ind w:left="840" w:hanging="420"/>
        <w:rPr>
          <w:rFonts w:hint="eastAsia"/>
          <w:color w:val="auto"/>
          <w:highlight w:val="none"/>
          <w:lang w:val="en-US" w:eastAsia="zh-CN"/>
        </w:rPr>
      </w:pPr>
      <w:r>
        <w:rPr>
          <w:rFonts w:hint="eastAsia"/>
          <w:color w:val="auto"/>
          <w:highlight w:val="none"/>
          <w:lang w:val="en-US" w:eastAsia="zh-CN"/>
        </w:rPr>
        <w:t>对数据共享全链路各环节风险进行监控。</w:t>
      </w:r>
    </w:p>
    <w:p>
      <w:pPr>
        <w:pStyle w:val="27"/>
        <w:bidi w:val="0"/>
        <w:outlineLvl w:val="2"/>
        <w:rPr>
          <w:rFonts w:hint="default"/>
          <w:color w:val="auto"/>
          <w:highlight w:val="none"/>
          <w:lang w:val="en-US" w:eastAsia="zh-CN"/>
        </w:rPr>
      </w:pPr>
      <w:bookmarkStart w:id="693" w:name="_Toc2098"/>
      <w:bookmarkStart w:id="694" w:name="_Toc19950"/>
      <w:bookmarkStart w:id="695" w:name="_Toc29442"/>
      <w:bookmarkStart w:id="696" w:name="_Toc2954"/>
      <w:bookmarkStart w:id="697" w:name="_Toc12211"/>
      <w:bookmarkStart w:id="698" w:name="_Toc13284"/>
      <w:bookmarkStart w:id="699" w:name="_Toc26083"/>
      <w:bookmarkStart w:id="700" w:name="_Toc2517"/>
      <w:bookmarkStart w:id="701" w:name="_Toc17434"/>
      <w:r>
        <w:rPr>
          <w:rFonts w:hint="eastAsia"/>
          <w:color w:val="auto"/>
          <w:highlight w:val="none"/>
          <w:lang w:val="en-US" w:eastAsia="zh-CN"/>
        </w:rPr>
        <w:t>核心数据</w:t>
      </w:r>
      <w:bookmarkEnd w:id="693"/>
      <w:bookmarkEnd w:id="694"/>
      <w:bookmarkEnd w:id="695"/>
      <w:bookmarkEnd w:id="696"/>
      <w:bookmarkEnd w:id="697"/>
      <w:bookmarkEnd w:id="698"/>
      <w:bookmarkEnd w:id="699"/>
      <w:bookmarkEnd w:id="700"/>
      <w:bookmarkEnd w:id="701"/>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原则上核心数据不允许共享。</w:t>
      </w:r>
    </w:p>
    <w:p>
      <w:pPr>
        <w:pStyle w:val="26"/>
        <w:bidi w:val="0"/>
        <w:outlineLvl w:val="1"/>
        <w:rPr>
          <w:rFonts w:hint="default"/>
          <w:color w:val="auto"/>
          <w:highlight w:val="none"/>
          <w:lang w:val="en-US" w:eastAsia="zh-CN"/>
        </w:rPr>
      </w:pPr>
      <w:bookmarkStart w:id="702" w:name="_Toc9311"/>
      <w:bookmarkStart w:id="703" w:name="_Toc4686"/>
      <w:bookmarkStart w:id="704" w:name="_Toc6529"/>
      <w:bookmarkStart w:id="705" w:name="_Toc5866"/>
      <w:r>
        <w:rPr>
          <w:rFonts w:hint="eastAsia"/>
          <w:color w:val="auto"/>
          <w:highlight w:val="none"/>
          <w:lang w:val="en-US" w:eastAsia="zh-CN"/>
        </w:rPr>
        <w:t>工业数据开放</w:t>
      </w:r>
      <w:bookmarkEnd w:id="702"/>
      <w:bookmarkEnd w:id="703"/>
      <w:bookmarkEnd w:id="704"/>
      <w:bookmarkEnd w:id="705"/>
    </w:p>
    <w:p>
      <w:pPr>
        <w:pStyle w:val="27"/>
        <w:bidi w:val="0"/>
        <w:outlineLvl w:val="2"/>
        <w:rPr>
          <w:rFonts w:hint="default"/>
          <w:color w:val="auto"/>
          <w:highlight w:val="none"/>
          <w:lang w:val="en-US" w:eastAsia="zh-CN"/>
        </w:rPr>
      </w:pPr>
      <w:bookmarkStart w:id="706" w:name="_Toc9205"/>
      <w:bookmarkStart w:id="707" w:name="_Toc21387"/>
      <w:bookmarkStart w:id="708" w:name="_Toc29156"/>
      <w:bookmarkStart w:id="709" w:name="_Toc12310"/>
      <w:bookmarkStart w:id="710" w:name="_Toc22434"/>
      <w:bookmarkStart w:id="711" w:name="_Toc26122"/>
      <w:bookmarkStart w:id="712" w:name="_Toc3040"/>
      <w:bookmarkStart w:id="713" w:name="_Toc2647"/>
      <w:bookmarkStart w:id="714" w:name="_Toc15851"/>
      <w:r>
        <w:rPr>
          <w:rFonts w:hint="eastAsia"/>
          <w:color w:val="auto"/>
          <w:highlight w:val="none"/>
          <w:lang w:val="en-US" w:eastAsia="zh-CN"/>
        </w:rPr>
        <w:t>一般数据</w:t>
      </w:r>
      <w:bookmarkEnd w:id="706"/>
      <w:bookmarkEnd w:id="707"/>
      <w:bookmarkEnd w:id="708"/>
      <w:bookmarkEnd w:id="709"/>
      <w:bookmarkEnd w:id="710"/>
      <w:bookmarkEnd w:id="711"/>
      <w:bookmarkEnd w:id="712"/>
      <w:bookmarkEnd w:id="713"/>
      <w:bookmarkEnd w:id="714"/>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一般数据开放安全防护要求如下</w:t>
      </w:r>
      <w:r>
        <w:rPr>
          <w:rFonts w:hint="eastAsia" w:ascii="宋体" w:hAnsi="宋体"/>
          <w:color w:val="auto"/>
          <w:highlight w:val="none"/>
          <w:lang w:val="en-US" w:eastAsia="zh-CN"/>
        </w:rPr>
        <w:t>：</w:t>
      </w:r>
    </w:p>
    <w:p>
      <w:pPr>
        <w:numPr>
          <w:ilvl w:val="0"/>
          <w:numId w:val="90"/>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应对工业数据按照数据开放属性进行分类。</w:t>
      </w:r>
    </w:p>
    <w:p>
      <w:pPr>
        <w:numPr>
          <w:ilvl w:val="0"/>
          <w:numId w:val="90"/>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对于分类属性为禁止开放的数据，不得开放。</w:t>
      </w:r>
    </w:p>
    <w:p>
      <w:pPr>
        <w:numPr>
          <w:ilvl w:val="0"/>
          <w:numId w:val="90"/>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对于分类属性为受限开放、无条件开放的数据应满足以下要求：</w:t>
      </w:r>
    </w:p>
    <w:p>
      <w:pPr>
        <w:pStyle w:val="25"/>
        <w:widowControl/>
        <w:numPr>
          <w:ilvl w:val="0"/>
          <w:numId w:val="91"/>
        </w:numPr>
        <w:tabs>
          <w:tab w:val="clear" w:pos="0"/>
        </w:tabs>
        <w:autoSpaceDE w:val="0"/>
        <w:autoSpaceDN w:val="0"/>
        <w:spacing w:line="360" w:lineRule="auto"/>
        <w:ind w:left="1259" w:leftChars="0" w:hanging="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在开放前，对开放的必要性、范围、规模、方式等进行分析研判。</w:t>
      </w:r>
    </w:p>
    <w:p>
      <w:pPr>
        <w:pStyle w:val="25"/>
        <w:widowControl/>
        <w:numPr>
          <w:ilvl w:val="0"/>
          <w:numId w:val="91"/>
        </w:numPr>
        <w:tabs>
          <w:tab w:val="clear" w:pos="0"/>
        </w:tabs>
        <w:autoSpaceDE w:val="0"/>
        <w:autoSpaceDN w:val="0"/>
        <w:spacing w:line="360" w:lineRule="auto"/>
        <w:ind w:left="1259" w:leftChars="0" w:hanging="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数据安全管理责任部门应会同业务部门，对拟开放数据的合规性、业务需求、数据脱敏方案等进行审核与审批，业务部门应对开放渠道、开放时间、拟开放数据的真实性，以及数据脱敏效果进行确认。</w:t>
      </w:r>
    </w:p>
    <w:p>
      <w:pPr>
        <w:pStyle w:val="25"/>
        <w:widowControl/>
        <w:numPr>
          <w:ilvl w:val="0"/>
          <w:numId w:val="91"/>
        </w:numPr>
        <w:tabs>
          <w:tab w:val="clear" w:pos="0"/>
        </w:tabs>
        <w:autoSpaceDE w:val="0"/>
        <w:autoSpaceDN w:val="0"/>
        <w:spacing w:line="360" w:lineRule="auto"/>
        <w:ind w:left="125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应采取合适方法对数据进行脱敏处理，保证工业数据开放安全。</w:t>
      </w:r>
    </w:p>
    <w:p>
      <w:pPr>
        <w:pStyle w:val="25"/>
        <w:widowControl/>
        <w:numPr>
          <w:ilvl w:val="0"/>
          <w:numId w:val="91"/>
        </w:numPr>
        <w:tabs>
          <w:tab w:val="clear" w:pos="0"/>
        </w:tabs>
        <w:autoSpaceDE w:val="0"/>
        <w:autoSpaceDN w:val="0"/>
        <w:spacing w:line="360" w:lineRule="auto"/>
        <w:ind w:left="1259" w:leftChars="0" w:hanging="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应确保工业数据开放内容的真实性、规范性、实效性和准确性。</w:t>
      </w:r>
    </w:p>
    <w:p>
      <w:pPr>
        <w:pStyle w:val="27"/>
        <w:bidi w:val="0"/>
        <w:outlineLvl w:val="2"/>
        <w:rPr>
          <w:rFonts w:hint="default"/>
          <w:color w:val="auto"/>
          <w:highlight w:val="none"/>
          <w:lang w:val="en-US" w:eastAsia="zh-CN"/>
        </w:rPr>
      </w:pPr>
      <w:bookmarkStart w:id="715" w:name="_Toc3928"/>
      <w:bookmarkStart w:id="716" w:name="_Toc16750"/>
      <w:bookmarkStart w:id="717" w:name="_Toc22068"/>
      <w:bookmarkStart w:id="718" w:name="_Toc14120"/>
      <w:bookmarkStart w:id="719" w:name="_Toc31452"/>
      <w:bookmarkStart w:id="720" w:name="_Toc11044"/>
      <w:bookmarkStart w:id="721" w:name="_Toc22923"/>
      <w:bookmarkStart w:id="722" w:name="_Toc1885"/>
      <w:bookmarkStart w:id="723" w:name="_Toc961"/>
      <w:r>
        <w:rPr>
          <w:rFonts w:hint="eastAsia"/>
          <w:color w:val="auto"/>
          <w:highlight w:val="none"/>
          <w:lang w:val="en-US" w:eastAsia="zh-CN"/>
        </w:rPr>
        <w:t>重要数据</w:t>
      </w:r>
      <w:bookmarkEnd w:id="715"/>
      <w:bookmarkEnd w:id="716"/>
      <w:bookmarkEnd w:id="717"/>
      <w:bookmarkEnd w:id="718"/>
      <w:bookmarkEnd w:id="719"/>
      <w:bookmarkEnd w:id="720"/>
      <w:bookmarkEnd w:id="721"/>
      <w:bookmarkEnd w:id="722"/>
      <w:bookmarkEnd w:id="723"/>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重要数据开放在</w:t>
      </w:r>
      <w:r>
        <w:rPr>
          <w:rFonts w:hint="eastAsia" w:ascii="宋体" w:hAnsi="宋体" w:eastAsia="宋体" w:cs="宋体"/>
          <w:color w:val="auto"/>
          <w:highlight w:val="none"/>
          <w:lang w:val="en-US" w:eastAsia="zh-CN"/>
        </w:rPr>
        <w:t>9</w:t>
      </w:r>
      <w:r>
        <w:rPr>
          <w:rFonts w:hint="eastAsia"/>
          <w:color w:val="auto"/>
          <w:highlight w:val="none"/>
          <w:lang w:val="en-US" w:eastAsia="zh-CN"/>
        </w:rPr>
        <w:t>.</w:t>
      </w:r>
      <w:r>
        <w:rPr>
          <w:rFonts w:hint="eastAsia" w:ascii="宋体" w:hAnsi="宋体" w:eastAsia="宋体" w:cs="宋体"/>
          <w:color w:val="auto"/>
          <w:highlight w:val="none"/>
          <w:lang w:val="en-US" w:eastAsia="zh-CN"/>
        </w:rPr>
        <w:t>7</w:t>
      </w:r>
      <w:r>
        <w:rPr>
          <w:rFonts w:hint="eastAsia"/>
          <w:color w:val="auto"/>
          <w:highlight w:val="none"/>
          <w:lang w:val="en-US" w:eastAsia="zh-CN"/>
        </w:rPr>
        <w:t>.</w:t>
      </w:r>
      <w:r>
        <w:rPr>
          <w:rFonts w:hint="eastAsia" w:ascii="宋体" w:hAnsi="宋体" w:eastAsia="宋体" w:cs="宋体"/>
          <w:color w:val="auto"/>
          <w:highlight w:val="none"/>
          <w:lang w:val="en-US" w:eastAsia="zh-CN"/>
        </w:rPr>
        <w:t>1</w:t>
      </w:r>
      <w:r>
        <w:rPr>
          <w:rFonts w:hint="eastAsia"/>
          <w:color w:val="auto"/>
          <w:highlight w:val="none"/>
          <w:lang w:val="en-US" w:eastAsia="zh-CN"/>
        </w:rPr>
        <w:t>的基础上还应满足以下要求</w:t>
      </w:r>
      <w:r>
        <w:rPr>
          <w:rFonts w:hint="eastAsia" w:ascii="宋体" w:hAnsi="宋体"/>
          <w:color w:val="auto"/>
          <w:highlight w:val="none"/>
          <w:lang w:val="en-US" w:eastAsia="zh-CN"/>
        </w:rPr>
        <w:t>：</w:t>
      </w:r>
    </w:p>
    <w:p>
      <w:pPr>
        <w:numPr>
          <w:ilvl w:val="0"/>
          <w:numId w:val="9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应采取数据水印等必要措施保证工业数据开放安全。</w:t>
      </w:r>
    </w:p>
    <w:p>
      <w:pPr>
        <w:numPr>
          <w:ilvl w:val="0"/>
          <w:numId w:val="9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在数据分类分级的基础上，建立工业数据开放管理制度，针对可对外公开和开放的数据进行开放前、开放中、开放后安全管理，具体包括开放前的数据内容、开放范围等审核，开放中对定期审查，以及开放后可能出现不良影响的应急处理机制。</w:t>
      </w:r>
    </w:p>
    <w:p>
      <w:pPr>
        <w:numPr>
          <w:ilvl w:val="0"/>
          <w:numId w:val="9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制定工业数据开放审核制度，包括数据待开放内容、涉及的部门和组织、审核批准/否决、工业数据开放应急处理流程等，确保开放内容是可以公开并且符合法律法规要求的。工业数据开放的审核由工业数据开放安全管理部门负责，严格审核和管理开放的数据，确保已开放数据的合法性、真实性、准确性。</w:t>
      </w:r>
    </w:p>
    <w:p>
      <w:pPr>
        <w:numPr>
          <w:ilvl w:val="0"/>
          <w:numId w:val="92"/>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应采取密码技术措施对开放数据的机密性、完整性和可用性进行安全防护。如通过官网开放数据时，采取包括网页防篡改等技术，防范披露数据篡改风险。</w:t>
      </w:r>
    </w:p>
    <w:p>
      <w:pPr>
        <w:numPr>
          <w:ilvl w:val="0"/>
          <w:numId w:val="92"/>
        </w:numPr>
        <w:spacing w:line="360" w:lineRule="auto"/>
        <w:ind w:left="840" w:hanging="420"/>
        <w:rPr>
          <w:rFonts w:hint="eastAsia"/>
          <w:color w:val="auto"/>
          <w:highlight w:val="none"/>
          <w:lang w:val="en-US" w:eastAsia="zh-CN"/>
        </w:rPr>
      </w:pPr>
      <w:r>
        <w:rPr>
          <w:rFonts w:hint="eastAsia"/>
          <w:color w:val="auto"/>
          <w:highlight w:val="none"/>
          <w:lang w:val="en-US" w:eastAsia="zh-CN"/>
        </w:rPr>
        <w:t>对数据开放全链路各环节的权限最小化控制，如进行白名单控并对异常进程监控。</w:t>
      </w:r>
    </w:p>
    <w:p>
      <w:pPr>
        <w:pStyle w:val="27"/>
        <w:bidi w:val="0"/>
        <w:outlineLvl w:val="2"/>
        <w:rPr>
          <w:rFonts w:hint="default"/>
          <w:color w:val="auto"/>
          <w:highlight w:val="none"/>
          <w:lang w:val="en-US" w:eastAsia="zh-CN"/>
        </w:rPr>
      </w:pPr>
      <w:bookmarkStart w:id="724" w:name="_Toc20589"/>
      <w:bookmarkStart w:id="725" w:name="_Toc30769"/>
      <w:bookmarkStart w:id="726" w:name="_Toc5935"/>
      <w:bookmarkStart w:id="727" w:name="_Toc25243"/>
      <w:bookmarkStart w:id="728" w:name="_Toc1224"/>
      <w:bookmarkStart w:id="729" w:name="_Toc12504"/>
      <w:bookmarkStart w:id="730" w:name="_Toc21540"/>
      <w:bookmarkStart w:id="731" w:name="_Toc10675"/>
      <w:bookmarkStart w:id="732" w:name="_Toc13853"/>
      <w:r>
        <w:rPr>
          <w:rFonts w:hint="eastAsia"/>
          <w:color w:val="auto"/>
          <w:highlight w:val="none"/>
          <w:lang w:val="en-US" w:eastAsia="zh-CN"/>
        </w:rPr>
        <w:t>核心数据</w:t>
      </w:r>
      <w:bookmarkEnd w:id="724"/>
      <w:bookmarkEnd w:id="725"/>
      <w:bookmarkEnd w:id="726"/>
      <w:bookmarkEnd w:id="727"/>
      <w:bookmarkEnd w:id="728"/>
      <w:bookmarkEnd w:id="729"/>
      <w:bookmarkEnd w:id="730"/>
      <w:bookmarkEnd w:id="731"/>
      <w:bookmarkEnd w:id="732"/>
    </w:p>
    <w:p>
      <w:pPr>
        <w:spacing w:line="360" w:lineRule="auto"/>
        <w:ind w:firstLine="420" w:firstLineChars="200"/>
        <w:rPr>
          <w:rFonts w:hint="eastAsia" w:ascii="黑体" w:hAnsi="黑体" w:eastAsia="黑体" w:cs="黑体"/>
          <w:color w:val="auto"/>
          <w:highlight w:val="none"/>
          <w:lang w:val="en-US" w:eastAsia="zh-CN"/>
        </w:rPr>
      </w:pPr>
      <w:r>
        <w:rPr>
          <w:rFonts w:hint="eastAsia"/>
          <w:color w:val="auto"/>
          <w:highlight w:val="none"/>
          <w:lang w:val="en-US" w:eastAsia="zh-CN"/>
        </w:rPr>
        <w:t>原则上核心数据不允许开放。</w:t>
      </w:r>
    </w:p>
    <w:p>
      <w:pPr>
        <w:pStyle w:val="26"/>
        <w:bidi w:val="0"/>
        <w:outlineLvl w:val="1"/>
        <w:rPr>
          <w:rFonts w:hint="default"/>
          <w:color w:val="auto"/>
          <w:highlight w:val="none"/>
          <w:lang w:val="en-US" w:eastAsia="zh-CN"/>
        </w:rPr>
      </w:pPr>
      <w:bookmarkStart w:id="733" w:name="_Toc18672"/>
      <w:bookmarkStart w:id="734" w:name="_Toc17763"/>
      <w:bookmarkStart w:id="735" w:name="_Toc21869"/>
      <w:bookmarkStart w:id="736" w:name="_Toc6850"/>
      <w:r>
        <w:rPr>
          <w:rFonts w:hint="eastAsia"/>
          <w:color w:val="auto"/>
          <w:highlight w:val="none"/>
          <w:lang w:val="en-US" w:eastAsia="zh-CN"/>
        </w:rPr>
        <w:t>工业数据销毁</w:t>
      </w:r>
      <w:bookmarkEnd w:id="733"/>
      <w:bookmarkEnd w:id="734"/>
      <w:bookmarkEnd w:id="735"/>
      <w:bookmarkEnd w:id="736"/>
    </w:p>
    <w:p>
      <w:pPr>
        <w:pStyle w:val="27"/>
        <w:bidi w:val="0"/>
        <w:outlineLvl w:val="2"/>
        <w:rPr>
          <w:rFonts w:hint="eastAsia"/>
          <w:color w:val="auto"/>
          <w:highlight w:val="none"/>
          <w:lang w:val="en-US" w:eastAsia="zh-CN"/>
        </w:rPr>
      </w:pPr>
      <w:bookmarkStart w:id="737" w:name="_Toc4542"/>
      <w:bookmarkStart w:id="738" w:name="_Toc11444"/>
      <w:bookmarkStart w:id="739" w:name="_Toc26209"/>
      <w:r>
        <w:rPr>
          <w:rFonts w:hint="eastAsia"/>
          <w:color w:val="auto"/>
          <w:highlight w:val="none"/>
          <w:lang w:val="en-US" w:eastAsia="zh-CN"/>
        </w:rPr>
        <w:t>一般数据</w:t>
      </w:r>
      <w:bookmarkEnd w:id="737"/>
      <w:bookmarkEnd w:id="738"/>
      <w:bookmarkEnd w:id="739"/>
    </w:p>
    <w:p>
      <w:pPr>
        <w:spacing w:line="360" w:lineRule="auto"/>
        <w:ind w:firstLine="420" w:firstLineChars="200"/>
        <w:rPr>
          <w:rFonts w:hint="eastAsia"/>
          <w:highlight w:val="none"/>
          <w:lang w:val="en-US" w:eastAsia="zh-CN"/>
        </w:rPr>
      </w:pPr>
      <w:r>
        <w:rPr>
          <w:rFonts w:hint="eastAsia"/>
          <w:color w:val="auto"/>
          <w:highlight w:val="none"/>
          <w:lang w:val="en-US" w:eastAsia="zh-CN"/>
        </w:rPr>
        <w:t>一般数据销毁安全防护要求如下</w:t>
      </w:r>
      <w:r>
        <w:rPr>
          <w:rFonts w:hint="eastAsia" w:ascii="宋体" w:hAnsi="宋体"/>
          <w:color w:val="auto"/>
          <w:highlight w:val="none"/>
          <w:lang w:val="en-US" w:eastAsia="zh-CN"/>
        </w:rPr>
        <w:t>：</w:t>
      </w:r>
    </w:p>
    <w:p>
      <w:pPr>
        <w:numPr>
          <w:ilvl w:val="0"/>
          <w:numId w:val="93"/>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应明确数据销毁对象、规则、流程技术等要求，对销毁活动进行记录和留存。</w:t>
      </w:r>
    </w:p>
    <w:p>
      <w:pPr>
        <w:numPr>
          <w:ilvl w:val="0"/>
          <w:numId w:val="93"/>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工业企业客户删除业务应用数据时，工业互联网平台应将平台中的所有副本删除。</w:t>
      </w:r>
    </w:p>
    <w:p>
      <w:pPr>
        <w:pStyle w:val="27"/>
        <w:bidi w:val="0"/>
        <w:outlineLvl w:val="2"/>
        <w:rPr>
          <w:rFonts w:hint="eastAsia"/>
          <w:color w:val="auto"/>
          <w:highlight w:val="none"/>
          <w:lang w:val="en-US" w:eastAsia="zh-CN"/>
        </w:rPr>
      </w:pPr>
      <w:bookmarkStart w:id="740" w:name="_Toc12143"/>
      <w:bookmarkStart w:id="741" w:name="_Toc22264"/>
      <w:bookmarkStart w:id="742" w:name="_Toc2329"/>
      <w:r>
        <w:rPr>
          <w:rFonts w:hint="eastAsia"/>
          <w:color w:val="auto"/>
          <w:highlight w:val="none"/>
          <w:lang w:val="en-US" w:eastAsia="zh-CN"/>
        </w:rPr>
        <w:t>重要数据</w:t>
      </w:r>
      <w:bookmarkEnd w:id="740"/>
      <w:bookmarkEnd w:id="741"/>
      <w:bookmarkEnd w:id="742"/>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重要数据销毁在</w:t>
      </w:r>
      <w:r>
        <w:rPr>
          <w:rFonts w:hint="eastAsia" w:ascii="宋体" w:hAnsi="宋体" w:eastAsia="宋体" w:cs="宋体"/>
          <w:color w:val="auto"/>
          <w:highlight w:val="none"/>
          <w:lang w:val="en-US" w:eastAsia="zh-CN"/>
        </w:rPr>
        <w:t>9</w:t>
      </w:r>
      <w:r>
        <w:rPr>
          <w:rFonts w:hint="eastAsia"/>
          <w:color w:val="auto"/>
          <w:highlight w:val="none"/>
          <w:lang w:val="en-US" w:eastAsia="zh-CN"/>
        </w:rPr>
        <w:t>.</w:t>
      </w:r>
      <w:r>
        <w:rPr>
          <w:rFonts w:hint="eastAsia" w:ascii="宋体" w:hAnsi="宋体" w:eastAsia="宋体" w:cs="宋体"/>
          <w:color w:val="auto"/>
          <w:highlight w:val="none"/>
          <w:lang w:val="en-US" w:eastAsia="zh-CN"/>
        </w:rPr>
        <w:t>8</w:t>
      </w:r>
      <w:r>
        <w:rPr>
          <w:rFonts w:hint="eastAsia"/>
          <w:color w:val="auto"/>
          <w:highlight w:val="none"/>
          <w:lang w:val="en-US" w:eastAsia="zh-CN"/>
        </w:rPr>
        <w:t>.</w:t>
      </w:r>
      <w:r>
        <w:rPr>
          <w:rFonts w:hint="eastAsia" w:ascii="宋体" w:hAnsi="宋体" w:eastAsia="宋体" w:cs="宋体"/>
          <w:color w:val="auto"/>
          <w:highlight w:val="none"/>
          <w:lang w:val="en-US" w:eastAsia="zh-CN"/>
        </w:rPr>
        <w:t>1</w:t>
      </w:r>
      <w:r>
        <w:rPr>
          <w:rFonts w:hint="eastAsia"/>
          <w:color w:val="auto"/>
          <w:highlight w:val="none"/>
          <w:lang w:val="en-US" w:eastAsia="zh-CN"/>
        </w:rPr>
        <w:t>的基础上还应满足以下要求</w:t>
      </w:r>
      <w:r>
        <w:rPr>
          <w:rFonts w:hint="eastAsia" w:ascii="宋体" w:hAnsi="宋体"/>
          <w:color w:val="auto"/>
          <w:highlight w:val="none"/>
          <w:lang w:val="en-US" w:eastAsia="zh-CN"/>
        </w:rPr>
        <w:t>：</w:t>
      </w:r>
    </w:p>
    <w:p>
      <w:pPr>
        <w:numPr>
          <w:ilvl w:val="0"/>
          <w:numId w:val="94"/>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应建立数据销毁审批机制，设置数据销毁相关监督角色、监督操作过程等。</w:t>
      </w:r>
    </w:p>
    <w:p>
      <w:pPr>
        <w:numPr>
          <w:ilvl w:val="0"/>
          <w:numId w:val="94"/>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应采用多次擦写、消磁等技术手段，保证数据完全销毁，不留痕迹，不能恢复。</w:t>
      </w:r>
    </w:p>
    <w:p>
      <w:pPr>
        <w:numPr>
          <w:ilvl w:val="0"/>
          <w:numId w:val="94"/>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应完全清除数据导入导出通道中的数据，并在数据存储空间被释放或重新分配前完全清除数据，防止数据被恶意恢复。</w:t>
      </w:r>
    </w:p>
    <w:p>
      <w:pPr>
        <w:pStyle w:val="27"/>
        <w:bidi w:val="0"/>
        <w:outlineLvl w:val="2"/>
        <w:rPr>
          <w:rFonts w:hint="default"/>
          <w:color w:val="auto"/>
          <w:highlight w:val="none"/>
          <w:lang w:val="en-US" w:eastAsia="zh-CN"/>
        </w:rPr>
      </w:pPr>
      <w:bookmarkStart w:id="743" w:name="_Toc27389"/>
      <w:bookmarkStart w:id="744" w:name="_Toc31072"/>
      <w:bookmarkStart w:id="745" w:name="_Toc2709"/>
      <w:r>
        <w:rPr>
          <w:rFonts w:hint="eastAsia"/>
          <w:color w:val="auto"/>
          <w:highlight w:val="none"/>
          <w:lang w:val="en-US" w:eastAsia="zh-CN"/>
        </w:rPr>
        <w:t>核心数据</w:t>
      </w:r>
      <w:bookmarkEnd w:id="743"/>
      <w:bookmarkEnd w:id="744"/>
      <w:bookmarkEnd w:id="745"/>
    </w:p>
    <w:p>
      <w:pPr>
        <w:spacing w:line="360" w:lineRule="auto"/>
        <w:ind w:firstLine="420" w:firstLineChars="200"/>
        <w:rPr>
          <w:rFonts w:hint="eastAsia"/>
          <w:color w:val="auto"/>
          <w:highlight w:val="none"/>
          <w:lang w:val="en-US" w:eastAsia="zh-CN"/>
        </w:rPr>
      </w:pPr>
      <w:r>
        <w:rPr>
          <w:rFonts w:hint="default"/>
          <w:color w:val="auto"/>
          <w:highlight w:val="none"/>
          <w:lang w:val="en-US" w:eastAsia="zh-CN"/>
        </w:rPr>
        <w:t>核心数据销毁安全防护在</w:t>
      </w:r>
      <w:r>
        <w:rPr>
          <w:rFonts w:hint="eastAsia" w:ascii="宋体" w:hAnsi="宋体" w:eastAsia="宋体" w:cs="宋体"/>
          <w:color w:val="auto"/>
          <w:highlight w:val="none"/>
          <w:lang w:val="en-US" w:eastAsia="zh-CN"/>
        </w:rPr>
        <w:t>9</w:t>
      </w:r>
      <w:r>
        <w:rPr>
          <w:rFonts w:hint="eastAsia"/>
          <w:color w:val="auto"/>
          <w:highlight w:val="none"/>
          <w:lang w:val="en-US" w:eastAsia="zh-CN"/>
        </w:rPr>
        <w:t>.</w:t>
      </w:r>
      <w:r>
        <w:rPr>
          <w:rFonts w:hint="eastAsia" w:ascii="宋体" w:hAnsi="宋体" w:eastAsia="宋体" w:cs="宋体"/>
          <w:color w:val="auto"/>
          <w:highlight w:val="none"/>
          <w:lang w:val="en-US" w:eastAsia="zh-CN"/>
        </w:rPr>
        <w:t>8</w:t>
      </w:r>
      <w:r>
        <w:rPr>
          <w:rFonts w:hint="eastAsia"/>
          <w:color w:val="auto"/>
          <w:highlight w:val="none"/>
          <w:lang w:val="en-US" w:eastAsia="zh-CN"/>
        </w:rPr>
        <w:t>.</w:t>
      </w:r>
      <w:r>
        <w:rPr>
          <w:rFonts w:hint="eastAsia" w:ascii="宋体" w:hAnsi="宋体" w:eastAsia="宋体" w:cs="宋体"/>
          <w:color w:val="auto"/>
          <w:highlight w:val="none"/>
          <w:lang w:val="en-US" w:eastAsia="zh-CN"/>
        </w:rPr>
        <w:t>2</w:t>
      </w:r>
      <w:r>
        <w:rPr>
          <w:rFonts w:hint="default"/>
          <w:color w:val="auto"/>
          <w:highlight w:val="none"/>
          <w:lang w:val="en-US" w:eastAsia="zh-CN"/>
        </w:rPr>
        <w:t>的基础上还应满足以下要求</w:t>
      </w:r>
      <w:r>
        <w:rPr>
          <w:rFonts w:hint="eastAsia" w:ascii="宋体" w:hAnsi="宋体"/>
          <w:color w:val="auto"/>
          <w:highlight w:val="none"/>
          <w:lang w:val="en-US" w:eastAsia="zh-CN"/>
        </w:rPr>
        <w:t>：</w:t>
      </w:r>
    </w:p>
    <w:p>
      <w:pPr>
        <w:spacing w:line="360" w:lineRule="auto"/>
        <w:ind w:firstLine="420" w:firstLineChars="200"/>
        <w:rPr>
          <w:rFonts w:hint="default"/>
          <w:color w:val="auto"/>
          <w:highlight w:val="none"/>
          <w:lang w:val="en-US" w:eastAsia="zh-CN"/>
        </w:rPr>
      </w:pPr>
      <w:r>
        <w:rPr>
          <w:rFonts w:hint="default"/>
          <w:color w:val="auto"/>
          <w:highlight w:val="none"/>
          <w:lang w:val="en-US" w:eastAsia="zh-CN"/>
        </w:rPr>
        <w:t>应采用粉碎、拆解等方式，实现物理销毁存储介质，并在保证数据完全删除后，再销毁废弃存储介质，保证以不可逆的方式销毁数据。</w:t>
      </w:r>
    </w:p>
    <w:p>
      <w:pPr>
        <w:pStyle w:val="26"/>
        <w:bidi w:val="0"/>
        <w:outlineLvl w:val="1"/>
        <w:rPr>
          <w:rFonts w:hint="default"/>
          <w:color w:val="auto"/>
          <w:highlight w:val="none"/>
          <w:lang w:val="en-US" w:eastAsia="zh-CN"/>
        </w:rPr>
      </w:pPr>
      <w:bookmarkStart w:id="746" w:name="_Toc18094"/>
      <w:bookmarkStart w:id="747" w:name="_Toc26175"/>
      <w:bookmarkStart w:id="748" w:name="_Toc26451"/>
      <w:bookmarkStart w:id="749" w:name="_Toc17313"/>
      <w:r>
        <w:rPr>
          <w:rFonts w:hint="eastAsia"/>
          <w:color w:val="auto"/>
          <w:highlight w:val="none"/>
          <w:lang w:val="en-US" w:eastAsia="zh-CN"/>
        </w:rPr>
        <w:t>工业数据出境</w:t>
      </w:r>
      <w:bookmarkEnd w:id="746"/>
      <w:bookmarkEnd w:id="747"/>
      <w:bookmarkEnd w:id="748"/>
      <w:bookmarkEnd w:id="749"/>
    </w:p>
    <w:p>
      <w:pPr>
        <w:pStyle w:val="27"/>
        <w:bidi w:val="0"/>
        <w:outlineLvl w:val="2"/>
        <w:rPr>
          <w:rFonts w:hint="eastAsia"/>
          <w:color w:val="auto"/>
          <w:highlight w:val="none"/>
          <w:lang w:val="en-US" w:eastAsia="zh-CN"/>
        </w:rPr>
      </w:pPr>
      <w:bookmarkStart w:id="750" w:name="_Toc22402"/>
      <w:bookmarkStart w:id="751" w:name="_Toc31804"/>
      <w:bookmarkStart w:id="752" w:name="_Toc23010"/>
      <w:r>
        <w:rPr>
          <w:rFonts w:hint="eastAsia"/>
          <w:color w:val="auto"/>
          <w:highlight w:val="none"/>
          <w:lang w:val="en-US" w:eastAsia="zh-CN"/>
        </w:rPr>
        <w:t>一般数据</w:t>
      </w:r>
      <w:bookmarkEnd w:id="750"/>
      <w:bookmarkEnd w:id="751"/>
      <w:bookmarkEnd w:id="752"/>
    </w:p>
    <w:p>
      <w:pPr>
        <w:spacing w:line="360" w:lineRule="auto"/>
        <w:ind w:firstLine="420" w:firstLineChars="200"/>
        <w:rPr>
          <w:rFonts w:hint="eastAsia"/>
          <w:highlight w:val="none"/>
          <w:lang w:val="en-US" w:eastAsia="zh-CN"/>
        </w:rPr>
      </w:pPr>
      <w:r>
        <w:rPr>
          <w:rFonts w:hint="eastAsia"/>
          <w:color w:val="auto"/>
          <w:highlight w:val="none"/>
          <w:lang w:val="en-US" w:eastAsia="zh-CN"/>
        </w:rPr>
        <w:t>一般数据出境安全防护要求如下</w:t>
      </w:r>
      <w:r>
        <w:rPr>
          <w:rFonts w:hint="eastAsia" w:ascii="宋体" w:hAnsi="宋体"/>
          <w:color w:val="auto"/>
          <w:highlight w:val="none"/>
          <w:lang w:val="en-US" w:eastAsia="zh-CN"/>
        </w:rPr>
        <w:t>：</w:t>
      </w:r>
    </w:p>
    <w:p>
      <w:pPr>
        <w:pStyle w:val="25"/>
        <w:spacing w:line="360" w:lineRule="auto"/>
        <w:rPr>
          <w:rFonts w:hint="eastAsia"/>
          <w:highlight w:val="none"/>
          <w:lang w:val="en-US" w:eastAsia="zh-CN"/>
        </w:rPr>
      </w:pPr>
      <w:r>
        <w:rPr>
          <w:rFonts w:hint="eastAsia"/>
          <w:highlight w:val="none"/>
          <w:lang w:val="en-US" w:eastAsia="zh-CN"/>
        </w:rPr>
        <w:t>应结合实际开展数据出境安全自评估和安全管理。自评估至少应包含以下几个方面</w:t>
      </w:r>
      <w:r>
        <w:rPr>
          <w:rFonts w:hint="eastAsia" w:ascii="宋体" w:hAnsi="宋体"/>
          <w:highlight w:val="none"/>
          <w:lang w:val="en-US" w:eastAsia="zh-CN"/>
        </w:rPr>
        <w:t>：</w:t>
      </w:r>
    </w:p>
    <w:p>
      <w:pPr>
        <w:numPr>
          <w:ilvl w:val="0"/>
          <w:numId w:val="95"/>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数据出境和境外接收方处理数据的目的、范围、方式等的合法性、正当性、必要性</w:t>
      </w:r>
      <w:r>
        <w:rPr>
          <w:rFonts w:hint="eastAsia"/>
          <w:color w:val="auto"/>
          <w:highlight w:val="none"/>
          <w:lang w:val="en-US" w:eastAsia="zh-CN"/>
        </w:rPr>
        <w:t>。</w:t>
      </w:r>
    </w:p>
    <w:p>
      <w:pPr>
        <w:numPr>
          <w:ilvl w:val="0"/>
          <w:numId w:val="95"/>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出境数据的规模、范围、种类、敏感程度，数据出境可能对国家安全、公共利益、个人或者组织合法权益带来的风险</w:t>
      </w:r>
      <w:r>
        <w:rPr>
          <w:rFonts w:hint="eastAsia"/>
          <w:color w:val="auto"/>
          <w:highlight w:val="none"/>
          <w:lang w:val="en-US" w:eastAsia="zh-CN"/>
        </w:rPr>
        <w:t>。</w:t>
      </w:r>
    </w:p>
    <w:p>
      <w:pPr>
        <w:numPr>
          <w:ilvl w:val="0"/>
          <w:numId w:val="95"/>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境外接收方承诺承担的责任义务，以及履行责任义务的管理和技术措施、能力等能否保障出境数据的安全</w:t>
      </w:r>
      <w:r>
        <w:rPr>
          <w:rFonts w:hint="eastAsia"/>
          <w:color w:val="auto"/>
          <w:highlight w:val="none"/>
          <w:lang w:val="en-US" w:eastAsia="zh-CN"/>
        </w:rPr>
        <w:t>。</w:t>
      </w:r>
    </w:p>
    <w:p>
      <w:pPr>
        <w:numPr>
          <w:ilvl w:val="0"/>
          <w:numId w:val="95"/>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数据出境中和出境后遭到篡改、破坏、泄露、丢失、转移或者被非法获取、非法利用等的风险，个人信息权益维护的渠道是否通畅等</w:t>
      </w:r>
      <w:r>
        <w:rPr>
          <w:rFonts w:hint="eastAsia"/>
          <w:color w:val="auto"/>
          <w:highlight w:val="none"/>
          <w:lang w:val="en-US" w:eastAsia="zh-CN"/>
        </w:rPr>
        <w:t>。</w:t>
      </w:r>
    </w:p>
    <w:p>
      <w:pPr>
        <w:numPr>
          <w:ilvl w:val="0"/>
          <w:numId w:val="95"/>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与境外接收方拟订立的数据出境相关合同等法律文件是否充分约定了数据安全保护责任义务</w:t>
      </w:r>
      <w:r>
        <w:rPr>
          <w:rFonts w:hint="eastAsia"/>
          <w:color w:val="auto"/>
          <w:highlight w:val="none"/>
          <w:lang w:val="en-US" w:eastAsia="zh-CN"/>
        </w:rPr>
        <w:t>。</w:t>
      </w:r>
    </w:p>
    <w:p>
      <w:pPr>
        <w:numPr>
          <w:ilvl w:val="0"/>
          <w:numId w:val="95"/>
        </w:numPr>
        <w:spacing w:line="360" w:lineRule="auto"/>
        <w:ind w:left="840" w:leftChars="0" w:hanging="420" w:firstLineChars="0"/>
        <w:rPr>
          <w:rFonts w:hint="default"/>
          <w:color w:val="auto"/>
          <w:highlight w:val="none"/>
          <w:lang w:val="en-US" w:eastAsia="zh-CN"/>
        </w:rPr>
      </w:pPr>
      <w:r>
        <w:rPr>
          <w:rFonts w:hint="default"/>
          <w:color w:val="auto"/>
          <w:highlight w:val="none"/>
          <w:lang w:val="en-US" w:eastAsia="zh-CN"/>
        </w:rPr>
        <w:t>其他可能影响数据出境安全的事项。</w:t>
      </w:r>
    </w:p>
    <w:p>
      <w:pPr>
        <w:pStyle w:val="27"/>
        <w:bidi w:val="0"/>
        <w:outlineLvl w:val="2"/>
        <w:rPr>
          <w:rFonts w:hint="eastAsia"/>
          <w:color w:val="auto"/>
          <w:highlight w:val="none"/>
          <w:lang w:val="en-US" w:eastAsia="zh-CN"/>
        </w:rPr>
      </w:pPr>
      <w:bookmarkStart w:id="753" w:name="_Toc9738"/>
      <w:bookmarkStart w:id="754" w:name="_Toc112"/>
      <w:bookmarkStart w:id="755" w:name="_Toc7563"/>
      <w:r>
        <w:rPr>
          <w:rFonts w:hint="eastAsia"/>
          <w:color w:val="auto"/>
          <w:highlight w:val="none"/>
          <w:lang w:val="en-US" w:eastAsia="zh-CN"/>
        </w:rPr>
        <w:t>重要数据</w:t>
      </w:r>
      <w:bookmarkEnd w:id="753"/>
      <w:bookmarkEnd w:id="754"/>
      <w:bookmarkEnd w:id="755"/>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重要数据出境在</w:t>
      </w:r>
      <w:r>
        <w:rPr>
          <w:rFonts w:hint="eastAsia" w:ascii="宋体" w:hAnsi="宋体" w:eastAsia="宋体" w:cs="宋体"/>
          <w:color w:val="auto"/>
          <w:highlight w:val="none"/>
          <w:lang w:val="en-US" w:eastAsia="zh-CN"/>
        </w:rPr>
        <w:t>9</w:t>
      </w:r>
      <w:r>
        <w:rPr>
          <w:rFonts w:hint="eastAsia"/>
          <w:color w:val="auto"/>
          <w:highlight w:val="none"/>
          <w:lang w:val="en-US" w:eastAsia="zh-CN"/>
        </w:rPr>
        <w:t>.</w:t>
      </w:r>
      <w:r>
        <w:rPr>
          <w:rFonts w:hint="eastAsia" w:ascii="宋体" w:hAnsi="宋体" w:eastAsia="宋体" w:cs="宋体"/>
          <w:color w:val="auto"/>
          <w:highlight w:val="none"/>
          <w:lang w:val="en-US" w:eastAsia="zh-CN"/>
        </w:rPr>
        <w:t>9</w:t>
      </w:r>
      <w:r>
        <w:rPr>
          <w:rFonts w:hint="eastAsia"/>
          <w:color w:val="auto"/>
          <w:highlight w:val="none"/>
          <w:lang w:val="en-US" w:eastAsia="zh-CN"/>
        </w:rPr>
        <w:t>.</w:t>
      </w:r>
      <w:r>
        <w:rPr>
          <w:rFonts w:hint="eastAsia" w:ascii="宋体" w:hAnsi="宋体" w:eastAsia="宋体" w:cs="宋体"/>
          <w:color w:val="auto"/>
          <w:highlight w:val="none"/>
          <w:lang w:val="en-US" w:eastAsia="zh-CN"/>
        </w:rPr>
        <w:t>1</w:t>
      </w:r>
      <w:r>
        <w:rPr>
          <w:rFonts w:hint="eastAsia"/>
          <w:color w:val="auto"/>
          <w:highlight w:val="none"/>
          <w:lang w:val="en-US" w:eastAsia="zh-CN"/>
        </w:rPr>
        <w:t>的基础上还应满足以下要求</w:t>
      </w:r>
      <w:r>
        <w:rPr>
          <w:rFonts w:hint="eastAsia" w:ascii="宋体" w:hAnsi="宋体"/>
          <w:color w:val="auto"/>
          <w:highlight w:val="none"/>
          <w:lang w:val="en-US" w:eastAsia="zh-CN"/>
        </w:rPr>
        <w:t>：</w:t>
      </w:r>
    </w:p>
    <w:p>
      <w:pPr>
        <w:numPr>
          <w:ilvl w:val="0"/>
          <w:numId w:val="96"/>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确需出境的，应依法依规进行数据出境安全评估。</w:t>
      </w:r>
    </w:p>
    <w:p>
      <w:pPr>
        <w:numPr>
          <w:ilvl w:val="0"/>
          <w:numId w:val="96"/>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应具备数据出境安全监测能力，对通过评估的数据的出境行为、内容开展安全监测，加强数据出境安全风险防范和处置。</w:t>
      </w:r>
    </w:p>
    <w:p>
      <w:pPr>
        <w:numPr>
          <w:ilvl w:val="0"/>
          <w:numId w:val="96"/>
        </w:numPr>
        <w:spacing w:line="360" w:lineRule="auto"/>
        <w:ind w:left="840" w:leftChars="0" w:hanging="420" w:firstLineChars="0"/>
        <w:rPr>
          <w:rFonts w:hint="eastAsia"/>
          <w:color w:val="auto"/>
          <w:highlight w:val="none"/>
          <w:lang w:val="en-US" w:eastAsia="zh-CN"/>
        </w:rPr>
      </w:pPr>
      <w:r>
        <w:rPr>
          <w:rFonts w:hint="eastAsia"/>
          <w:color w:val="auto"/>
          <w:highlight w:val="none"/>
          <w:lang w:val="en-US" w:eastAsia="zh-CN"/>
        </w:rPr>
        <w:t>应预留数据安全监测、检查等技术接口，为数据出境安全管理提供技术支持。</w:t>
      </w:r>
    </w:p>
    <w:p>
      <w:pPr>
        <w:pStyle w:val="27"/>
        <w:bidi w:val="0"/>
        <w:outlineLvl w:val="2"/>
        <w:rPr>
          <w:rFonts w:hint="default"/>
          <w:color w:val="auto"/>
          <w:highlight w:val="none"/>
          <w:lang w:val="en-US" w:eastAsia="zh-CN"/>
        </w:rPr>
      </w:pPr>
      <w:bookmarkStart w:id="756" w:name="_Toc24619"/>
      <w:bookmarkStart w:id="757" w:name="_Toc19234"/>
      <w:bookmarkStart w:id="758" w:name="_Toc1592"/>
      <w:r>
        <w:rPr>
          <w:rFonts w:hint="eastAsia"/>
          <w:color w:val="auto"/>
          <w:highlight w:val="none"/>
          <w:lang w:val="en-US" w:eastAsia="zh-CN"/>
        </w:rPr>
        <w:t>核心数据</w:t>
      </w:r>
      <w:bookmarkEnd w:id="756"/>
      <w:bookmarkEnd w:id="757"/>
      <w:bookmarkEnd w:id="758"/>
    </w:p>
    <w:p>
      <w:pPr>
        <w:pStyle w:val="2"/>
        <w:spacing w:line="360" w:lineRule="auto"/>
        <w:ind w:firstLine="420" w:firstLineChars="200"/>
        <w:rPr>
          <w:rFonts w:hint="default"/>
          <w:color w:val="auto"/>
          <w:highlight w:val="none"/>
          <w:lang w:val="en-US" w:eastAsia="zh-CN"/>
        </w:rPr>
      </w:pPr>
      <w:r>
        <w:rPr>
          <w:rFonts w:hint="default"/>
          <w:color w:val="auto"/>
          <w:highlight w:val="none"/>
          <w:lang w:val="en-US" w:eastAsia="zh-CN"/>
        </w:rPr>
        <w:t>原则上核心数据不允许出境，确需出境的，应当依法依规进行数据出境安全评估。</w:t>
      </w:r>
    </w:p>
    <w:p>
      <w:pPr>
        <w:pStyle w:val="26"/>
        <w:bidi w:val="0"/>
        <w:outlineLvl w:val="1"/>
        <w:rPr>
          <w:rFonts w:hint="default"/>
          <w:color w:val="auto"/>
          <w:highlight w:val="none"/>
          <w:lang w:val="en-US" w:eastAsia="zh-CN"/>
        </w:rPr>
      </w:pPr>
      <w:bookmarkStart w:id="759" w:name="_Toc23912"/>
      <w:bookmarkStart w:id="760" w:name="_Toc19670"/>
      <w:bookmarkStart w:id="761" w:name="_Toc697"/>
      <w:bookmarkStart w:id="762" w:name="_Toc16724"/>
      <w:r>
        <w:rPr>
          <w:rFonts w:hint="eastAsia"/>
          <w:color w:val="auto"/>
          <w:highlight w:val="none"/>
          <w:lang w:val="en-US" w:eastAsia="zh-CN"/>
        </w:rPr>
        <w:t>工业数据转移</w:t>
      </w:r>
      <w:bookmarkEnd w:id="759"/>
      <w:bookmarkEnd w:id="760"/>
      <w:bookmarkEnd w:id="761"/>
      <w:bookmarkEnd w:id="762"/>
    </w:p>
    <w:p>
      <w:pPr>
        <w:pStyle w:val="27"/>
        <w:bidi w:val="0"/>
        <w:outlineLvl w:val="2"/>
        <w:rPr>
          <w:rFonts w:hint="eastAsia"/>
          <w:color w:val="auto"/>
          <w:highlight w:val="none"/>
          <w:lang w:val="en-US" w:eastAsia="zh-CN"/>
        </w:rPr>
      </w:pPr>
      <w:bookmarkStart w:id="763" w:name="_Toc1639"/>
      <w:bookmarkStart w:id="764" w:name="_Toc12452"/>
      <w:bookmarkStart w:id="765" w:name="_Toc5934"/>
      <w:r>
        <w:rPr>
          <w:rFonts w:hint="eastAsia"/>
          <w:color w:val="auto"/>
          <w:highlight w:val="none"/>
          <w:lang w:val="en-US" w:eastAsia="zh-CN"/>
        </w:rPr>
        <w:t>一般数据</w:t>
      </w:r>
      <w:bookmarkEnd w:id="763"/>
      <w:bookmarkEnd w:id="764"/>
      <w:bookmarkEnd w:id="765"/>
    </w:p>
    <w:p>
      <w:pPr>
        <w:spacing w:line="360" w:lineRule="auto"/>
        <w:ind w:firstLine="420" w:firstLineChars="200"/>
        <w:rPr>
          <w:rFonts w:hint="eastAsia"/>
          <w:highlight w:val="none"/>
          <w:lang w:val="en-US" w:eastAsia="zh-CN"/>
        </w:rPr>
      </w:pPr>
      <w:r>
        <w:rPr>
          <w:rFonts w:hint="eastAsia"/>
          <w:color w:val="auto"/>
          <w:highlight w:val="none"/>
          <w:lang w:val="en-US" w:eastAsia="zh-CN"/>
        </w:rPr>
        <w:t>一般数据转移安全防护要求如下</w:t>
      </w:r>
      <w:r>
        <w:rPr>
          <w:rFonts w:hint="eastAsia" w:ascii="宋体" w:hAnsi="宋体"/>
          <w:color w:val="auto"/>
          <w:highlight w:val="none"/>
          <w:lang w:val="en-US" w:eastAsia="zh-CN"/>
        </w:rPr>
        <w:t>：</w:t>
      </w:r>
    </w:p>
    <w:p>
      <w:pPr>
        <w:pStyle w:val="25"/>
        <w:spacing w:line="360" w:lineRule="auto"/>
        <w:rPr>
          <w:rFonts w:hint="eastAsia"/>
          <w:highlight w:val="none"/>
          <w:lang w:val="en-US" w:eastAsia="zh-CN"/>
        </w:rPr>
      </w:pPr>
      <w:r>
        <w:rPr>
          <w:rFonts w:hint="eastAsia"/>
          <w:highlight w:val="none"/>
          <w:lang w:val="en-US" w:eastAsia="zh-CN"/>
        </w:rPr>
        <w:t>应明确数据转移方案，并通过电话、短信、邮件、公告等方式通知受影响用户。</w:t>
      </w:r>
    </w:p>
    <w:p>
      <w:pPr>
        <w:pStyle w:val="27"/>
        <w:bidi w:val="0"/>
        <w:outlineLvl w:val="2"/>
        <w:rPr>
          <w:rFonts w:hint="eastAsia"/>
          <w:color w:val="auto"/>
          <w:highlight w:val="none"/>
          <w:lang w:val="en-US" w:eastAsia="zh-CN"/>
        </w:rPr>
      </w:pPr>
      <w:bookmarkStart w:id="766" w:name="_Toc25850"/>
      <w:bookmarkStart w:id="767" w:name="_Toc29054"/>
      <w:bookmarkStart w:id="768" w:name="_Toc9736"/>
      <w:r>
        <w:rPr>
          <w:rFonts w:hint="eastAsia"/>
          <w:color w:val="auto"/>
          <w:highlight w:val="none"/>
          <w:lang w:val="en-US" w:eastAsia="zh-CN"/>
        </w:rPr>
        <w:t>重要数据</w:t>
      </w:r>
      <w:bookmarkEnd w:id="766"/>
      <w:bookmarkEnd w:id="767"/>
      <w:bookmarkEnd w:id="768"/>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重要数据转移在</w:t>
      </w:r>
      <w:r>
        <w:rPr>
          <w:rFonts w:hint="eastAsia" w:ascii="宋体" w:hAnsi="宋体" w:eastAsia="宋体" w:cs="宋体"/>
          <w:color w:val="auto"/>
          <w:highlight w:val="none"/>
          <w:lang w:val="en-US" w:eastAsia="zh-CN"/>
        </w:rPr>
        <w:t>9</w:t>
      </w:r>
      <w:r>
        <w:rPr>
          <w:rFonts w:hint="eastAsia"/>
          <w:color w:val="auto"/>
          <w:highlight w:val="none"/>
          <w:lang w:val="en-US" w:eastAsia="zh-CN"/>
        </w:rPr>
        <w:t>.</w:t>
      </w:r>
      <w:r>
        <w:rPr>
          <w:rFonts w:hint="eastAsia" w:ascii="宋体" w:hAnsi="宋体" w:eastAsia="宋体" w:cs="宋体"/>
          <w:color w:val="auto"/>
          <w:highlight w:val="none"/>
          <w:lang w:val="en-US" w:eastAsia="zh-CN"/>
        </w:rPr>
        <w:t>10</w:t>
      </w:r>
      <w:r>
        <w:rPr>
          <w:rFonts w:hint="eastAsia"/>
          <w:color w:val="auto"/>
          <w:highlight w:val="none"/>
          <w:lang w:val="en-US" w:eastAsia="zh-CN"/>
        </w:rPr>
        <w:t>.</w:t>
      </w:r>
      <w:r>
        <w:rPr>
          <w:rFonts w:hint="eastAsia" w:ascii="宋体" w:hAnsi="宋体" w:eastAsia="宋体" w:cs="宋体"/>
          <w:color w:val="auto"/>
          <w:highlight w:val="none"/>
          <w:lang w:val="en-US" w:eastAsia="zh-CN"/>
        </w:rPr>
        <w:t>1</w:t>
      </w:r>
      <w:r>
        <w:rPr>
          <w:rFonts w:hint="eastAsia"/>
          <w:color w:val="auto"/>
          <w:highlight w:val="none"/>
          <w:lang w:val="en-US" w:eastAsia="zh-CN"/>
        </w:rPr>
        <w:t>的基础上还应满足以下要求</w:t>
      </w:r>
      <w:r>
        <w:rPr>
          <w:rFonts w:hint="eastAsia" w:ascii="宋体" w:hAnsi="宋体"/>
          <w:color w:val="auto"/>
          <w:highlight w:val="none"/>
          <w:lang w:val="en-US" w:eastAsia="zh-CN"/>
        </w:rPr>
        <w:t>：</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数据转移后，应在规定期限内向有关部门更新重要数据目录备案表。</w:t>
      </w:r>
    </w:p>
    <w:p>
      <w:pPr>
        <w:pStyle w:val="27"/>
        <w:bidi w:val="0"/>
        <w:outlineLvl w:val="2"/>
        <w:rPr>
          <w:rFonts w:hint="default"/>
          <w:color w:val="auto"/>
          <w:highlight w:val="none"/>
          <w:lang w:val="en-US" w:eastAsia="zh-CN"/>
        </w:rPr>
      </w:pPr>
      <w:bookmarkStart w:id="769" w:name="_Toc17530"/>
      <w:bookmarkStart w:id="770" w:name="_Toc27923"/>
      <w:bookmarkStart w:id="771" w:name="_Toc25468"/>
      <w:r>
        <w:rPr>
          <w:rFonts w:hint="eastAsia"/>
          <w:color w:val="auto"/>
          <w:highlight w:val="none"/>
          <w:lang w:val="en-US" w:eastAsia="zh-CN"/>
        </w:rPr>
        <w:t>核心数据</w:t>
      </w:r>
      <w:bookmarkEnd w:id="769"/>
      <w:bookmarkEnd w:id="770"/>
      <w:bookmarkEnd w:id="771"/>
    </w:p>
    <w:p>
      <w:pPr>
        <w:spacing w:line="360" w:lineRule="auto"/>
        <w:ind w:firstLine="420" w:firstLineChars="200"/>
        <w:rPr>
          <w:rFonts w:hint="eastAsia"/>
          <w:color w:val="auto"/>
          <w:highlight w:val="none"/>
          <w:lang w:val="en-US" w:eastAsia="zh-CN"/>
        </w:rPr>
      </w:pPr>
      <w:r>
        <w:rPr>
          <w:rFonts w:hint="default"/>
          <w:color w:val="auto"/>
          <w:highlight w:val="none"/>
          <w:lang w:val="en-US" w:eastAsia="zh-CN"/>
        </w:rPr>
        <w:t>核心数据</w:t>
      </w:r>
      <w:r>
        <w:rPr>
          <w:rFonts w:hint="eastAsia"/>
          <w:color w:val="auto"/>
          <w:highlight w:val="none"/>
          <w:lang w:val="en-US" w:eastAsia="zh-CN"/>
        </w:rPr>
        <w:t>转移</w:t>
      </w:r>
      <w:r>
        <w:rPr>
          <w:rFonts w:hint="default"/>
          <w:color w:val="auto"/>
          <w:highlight w:val="none"/>
          <w:lang w:val="en-US" w:eastAsia="zh-CN"/>
        </w:rPr>
        <w:t>在</w:t>
      </w:r>
      <w:r>
        <w:rPr>
          <w:rFonts w:hint="eastAsia" w:ascii="宋体" w:hAnsi="宋体" w:eastAsia="宋体" w:cs="宋体"/>
          <w:color w:val="auto"/>
          <w:highlight w:val="none"/>
          <w:lang w:val="en-US" w:eastAsia="zh-CN"/>
        </w:rPr>
        <w:t>9</w:t>
      </w:r>
      <w:r>
        <w:rPr>
          <w:rFonts w:hint="eastAsia"/>
          <w:color w:val="auto"/>
          <w:highlight w:val="none"/>
          <w:lang w:val="en-US" w:eastAsia="zh-CN"/>
        </w:rPr>
        <w:t>.</w:t>
      </w:r>
      <w:r>
        <w:rPr>
          <w:rFonts w:hint="eastAsia" w:ascii="宋体" w:hAnsi="宋体" w:eastAsia="宋体" w:cs="宋体"/>
          <w:color w:val="auto"/>
          <w:highlight w:val="none"/>
          <w:lang w:val="en-US" w:eastAsia="zh-CN"/>
        </w:rPr>
        <w:t>10</w:t>
      </w:r>
      <w:r>
        <w:rPr>
          <w:rFonts w:hint="eastAsia"/>
          <w:color w:val="auto"/>
          <w:highlight w:val="none"/>
          <w:lang w:val="en-US" w:eastAsia="zh-CN"/>
        </w:rPr>
        <w:t>.</w:t>
      </w:r>
      <w:r>
        <w:rPr>
          <w:rFonts w:hint="eastAsia" w:ascii="宋体" w:hAnsi="宋体" w:eastAsia="宋体" w:cs="宋体"/>
          <w:color w:val="auto"/>
          <w:highlight w:val="none"/>
          <w:lang w:val="en-US" w:eastAsia="zh-CN"/>
        </w:rPr>
        <w:t>2</w:t>
      </w:r>
      <w:r>
        <w:rPr>
          <w:rFonts w:hint="default"/>
          <w:color w:val="auto"/>
          <w:highlight w:val="none"/>
          <w:lang w:val="en-US" w:eastAsia="zh-CN"/>
        </w:rPr>
        <w:t>的基础上还应满足以下要求</w:t>
      </w:r>
      <w:r>
        <w:rPr>
          <w:rFonts w:hint="eastAsia" w:ascii="宋体" w:hAnsi="宋体"/>
          <w:color w:val="auto"/>
          <w:highlight w:val="none"/>
          <w:lang w:val="en-US" w:eastAsia="zh-CN"/>
        </w:rPr>
        <w:t>：</w:t>
      </w:r>
    </w:p>
    <w:p>
      <w:pPr>
        <w:pStyle w:val="2"/>
        <w:spacing w:line="360" w:lineRule="auto"/>
        <w:ind w:firstLine="420" w:firstLineChars="200"/>
        <w:rPr>
          <w:rFonts w:hint="default"/>
          <w:color w:val="auto"/>
          <w:highlight w:val="none"/>
          <w:lang w:val="en-US" w:eastAsia="zh-CN"/>
        </w:rPr>
      </w:pPr>
      <w:r>
        <w:rPr>
          <w:rFonts w:hint="default"/>
          <w:color w:val="auto"/>
          <w:highlight w:val="none"/>
          <w:lang w:val="en-US" w:eastAsia="zh-CN"/>
        </w:rPr>
        <w:t>应当评估安全风险，采取必要的安全保护措施，并报有关部门审查。</w:t>
      </w:r>
    </w:p>
    <w:p>
      <w:pPr>
        <w:pStyle w:val="26"/>
        <w:bidi w:val="0"/>
        <w:outlineLvl w:val="1"/>
        <w:rPr>
          <w:rFonts w:hint="default"/>
          <w:color w:val="auto"/>
          <w:highlight w:val="none"/>
          <w:lang w:val="en-US" w:eastAsia="zh-CN"/>
        </w:rPr>
      </w:pPr>
      <w:bookmarkStart w:id="772" w:name="_Toc8744"/>
      <w:bookmarkStart w:id="773" w:name="_Toc4737"/>
      <w:bookmarkStart w:id="774" w:name="_Toc2050"/>
      <w:bookmarkStart w:id="775" w:name="_Toc30487"/>
      <w:r>
        <w:rPr>
          <w:rFonts w:hint="eastAsia"/>
          <w:color w:val="auto"/>
          <w:highlight w:val="none"/>
          <w:lang w:val="en-US" w:eastAsia="zh-CN"/>
        </w:rPr>
        <w:t>工业</w:t>
      </w:r>
      <w:r>
        <w:rPr>
          <w:rFonts w:hint="default"/>
          <w:color w:val="auto"/>
          <w:highlight w:val="none"/>
          <w:lang w:val="en-US" w:eastAsia="zh-CN"/>
        </w:rPr>
        <w:t>数据委托处理</w:t>
      </w:r>
      <w:bookmarkEnd w:id="772"/>
      <w:bookmarkEnd w:id="773"/>
      <w:bookmarkEnd w:id="774"/>
      <w:bookmarkEnd w:id="775"/>
    </w:p>
    <w:p>
      <w:pPr>
        <w:pStyle w:val="27"/>
        <w:bidi w:val="0"/>
        <w:outlineLvl w:val="2"/>
        <w:rPr>
          <w:rFonts w:hint="default"/>
          <w:color w:val="auto"/>
          <w:highlight w:val="none"/>
          <w:lang w:val="en-US" w:eastAsia="zh-CN"/>
        </w:rPr>
      </w:pPr>
      <w:bookmarkStart w:id="776" w:name="_Toc10661"/>
      <w:bookmarkStart w:id="777" w:name="_Toc32048"/>
      <w:bookmarkStart w:id="778" w:name="_Toc15729"/>
      <w:r>
        <w:rPr>
          <w:rFonts w:hint="default"/>
          <w:color w:val="auto"/>
          <w:highlight w:val="none"/>
          <w:lang w:val="en-US" w:eastAsia="zh-CN"/>
        </w:rPr>
        <w:t>一般数据</w:t>
      </w:r>
      <w:bookmarkEnd w:id="776"/>
      <w:bookmarkEnd w:id="777"/>
      <w:bookmarkEnd w:id="778"/>
    </w:p>
    <w:p>
      <w:pPr>
        <w:spacing w:line="360" w:lineRule="auto"/>
        <w:ind w:firstLine="420" w:firstLineChars="200"/>
        <w:rPr>
          <w:rFonts w:hint="default"/>
          <w:highlight w:val="none"/>
          <w:lang w:val="en-US" w:eastAsia="zh-CN"/>
        </w:rPr>
      </w:pPr>
      <w:r>
        <w:rPr>
          <w:rFonts w:hint="eastAsia"/>
          <w:color w:val="auto"/>
          <w:highlight w:val="none"/>
          <w:lang w:val="en-US" w:eastAsia="zh-CN"/>
        </w:rPr>
        <w:t>一般数据委托处理安全防护要求如下</w:t>
      </w:r>
      <w:r>
        <w:rPr>
          <w:rFonts w:hint="eastAsia" w:ascii="宋体" w:hAnsi="宋体"/>
          <w:color w:val="auto"/>
          <w:highlight w:val="none"/>
          <w:lang w:val="en-US" w:eastAsia="zh-CN"/>
        </w:rPr>
        <w:t>：</w:t>
      </w:r>
    </w:p>
    <w:p>
      <w:pPr>
        <w:spacing w:line="360" w:lineRule="auto"/>
        <w:ind w:firstLine="420" w:firstLineChars="200"/>
        <w:rPr>
          <w:rFonts w:hint="default"/>
          <w:color w:val="auto"/>
          <w:highlight w:val="none"/>
          <w:lang w:val="en-US" w:eastAsia="zh-CN"/>
        </w:rPr>
      </w:pPr>
      <w:r>
        <w:rPr>
          <w:rFonts w:hint="default"/>
          <w:color w:val="auto"/>
          <w:highlight w:val="none"/>
          <w:lang w:val="en-US" w:eastAsia="zh-CN"/>
        </w:rPr>
        <w:t>应通过签订合同协议等方式，明确数据安全保护要求和责任落实要求，规范数据使用权限、内容、范围及用途，对合作方数据使用情况进行监督管理。</w:t>
      </w:r>
    </w:p>
    <w:p>
      <w:pPr>
        <w:pStyle w:val="27"/>
        <w:bidi w:val="0"/>
        <w:outlineLvl w:val="2"/>
        <w:rPr>
          <w:rFonts w:hint="default"/>
          <w:color w:val="auto"/>
          <w:highlight w:val="none"/>
          <w:lang w:val="en-US" w:eastAsia="zh-CN"/>
        </w:rPr>
      </w:pPr>
      <w:bookmarkStart w:id="779" w:name="_Toc29630"/>
      <w:bookmarkStart w:id="780" w:name="_Toc28457"/>
      <w:bookmarkStart w:id="781" w:name="_Toc29168"/>
      <w:r>
        <w:rPr>
          <w:rFonts w:hint="default"/>
          <w:color w:val="auto"/>
          <w:highlight w:val="none"/>
          <w:lang w:val="en-US" w:eastAsia="zh-CN"/>
        </w:rPr>
        <w:t>重要数据</w:t>
      </w:r>
      <w:bookmarkEnd w:id="779"/>
      <w:bookmarkEnd w:id="780"/>
      <w:bookmarkEnd w:id="781"/>
    </w:p>
    <w:p>
      <w:pPr>
        <w:spacing w:line="360" w:lineRule="auto"/>
        <w:ind w:firstLine="420" w:firstLineChars="200"/>
        <w:rPr>
          <w:rFonts w:hint="default"/>
          <w:color w:val="auto"/>
          <w:highlight w:val="none"/>
          <w:lang w:val="en-US" w:eastAsia="zh-CN"/>
        </w:rPr>
      </w:pPr>
      <w:r>
        <w:rPr>
          <w:rFonts w:hint="default"/>
          <w:color w:val="auto"/>
          <w:highlight w:val="none"/>
          <w:lang w:val="en-US" w:eastAsia="zh-CN"/>
        </w:rPr>
        <w:t>重要数据委托处理在</w:t>
      </w:r>
      <w:r>
        <w:rPr>
          <w:rFonts w:hint="eastAsia" w:ascii="宋体" w:hAnsi="宋体" w:eastAsia="宋体" w:cs="宋体"/>
          <w:color w:val="auto"/>
          <w:highlight w:val="none"/>
          <w:lang w:val="en-US" w:eastAsia="zh-CN"/>
        </w:rPr>
        <w:t>9</w:t>
      </w:r>
      <w:r>
        <w:rPr>
          <w:rFonts w:hint="eastAsia"/>
          <w:color w:val="auto"/>
          <w:highlight w:val="none"/>
          <w:lang w:val="en-US" w:eastAsia="zh-CN"/>
        </w:rPr>
        <w:t>.</w:t>
      </w:r>
      <w:r>
        <w:rPr>
          <w:rFonts w:hint="eastAsia" w:ascii="宋体" w:hAnsi="宋体" w:eastAsia="宋体" w:cs="宋体"/>
          <w:color w:val="auto"/>
          <w:highlight w:val="none"/>
          <w:lang w:val="en-US" w:eastAsia="zh-CN"/>
        </w:rPr>
        <w:t>11</w:t>
      </w:r>
      <w:r>
        <w:rPr>
          <w:rFonts w:hint="eastAsia"/>
          <w:color w:val="auto"/>
          <w:highlight w:val="none"/>
          <w:lang w:val="en-US" w:eastAsia="zh-CN"/>
        </w:rPr>
        <w:t>.</w:t>
      </w:r>
      <w:r>
        <w:rPr>
          <w:rFonts w:hint="eastAsia" w:ascii="宋体" w:hAnsi="宋体" w:eastAsia="宋体" w:cs="宋体"/>
          <w:color w:val="auto"/>
          <w:highlight w:val="none"/>
          <w:lang w:val="en-US" w:eastAsia="zh-CN"/>
        </w:rPr>
        <w:t>1</w:t>
      </w:r>
      <w:r>
        <w:rPr>
          <w:rFonts w:hint="default"/>
          <w:color w:val="auto"/>
          <w:highlight w:val="none"/>
          <w:lang w:val="en-US" w:eastAsia="zh-CN"/>
        </w:rPr>
        <w:t>的基础上还应满足以下要求</w:t>
      </w:r>
      <w:r>
        <w:rPr>
          <w:rFonts w:hint="eastAsia" w:ascii="宋体" w:hAnsi="宋体"/>
          <w:color w:val="auto"/>
          <w:highlight w:val="none"/>
          <w:lang w:val="en-US" w:eastAsia="zh-CN"/>
        </w:rPr>
        <w:t>：</w:t>
      </w:r>
    </w:p>
    <w:p>
      <w:pPr>
        <w:spacing w:line="360" w:lineRule="auto"/>
        <w:ind w:firstLine="420" w:firstLineChars="200"/>
        <w:rPr>
          <w:rFonts w:hint="default"/>
          <w:color w:val="auto"/>
          <w:highlight w:val="none"/>
          <w:lang w:val="en-US" w:eastAsia="zh-CN"/>
        </w:rPr>
      </w:pPr>
      <w:r>
        <w:rPr>
          <w:rFonts w:hint="default"/>
          <w:color w:val="auto"/>
          <w:highlight w:val="none"/>
          <w:lang w:val="en-US" w:eastAsia="zh-CN"/>
        </w:rPr>
        <w:t>应对被委托方的数据安全保护能力、资质进行评估或核实。</w:t>
      </w:r>
    </w:p>
    <w:p>
      <w:pPr>
        <w:pStyle w:val="27"/>
        <w:bidi w:val="0"/>
        <w:outlineLvl w:val="2"/>
        <w:rPr>
          <w:rFonts w:hint="default"/>
          <w:color w:val="auto"/>
          <w:highlight w:val="none"/>
          <w:lang w:val="en-US" w:eastAsia="zh-CN"/>
        </w:rPr>
      </w:pPr>
      <w:bookmarkStart w:id="782" w:name="_Toc27974"/>
      <w:bookmarkStart w:id="783" w:name="_Toc23708"/>
      <w:bookmarkStart w:id="784" w:name="_Toc31332"/>
      <w:r>
        <w:rPr>
          <w:rFonts w:hint="eastAsia"/>
          <w:color w:val="auto"/>
          <w:highlight w:val="none"/>
          <w:lang w:val="en-US" w:eastAsia="zh-CN"/>
        </w:rPr>
        <w:t>:</w:t>
      </w:r>
      <w:r>
        <w:rPr>
          <w:rFonts w:hint="default"/>
          <w:color w:val="auto"/>
          <w:highlight w:val="none"/>
          <w:lang w:val="en-US" w:eastAsia="zh-CN"/>
        </w:rPr>
        <w:t>核心数据</w:t>
      </w:r>
      <w:bookmarkEnd w:id="782"/>
      <w:bookmarkEnd w:id="783"/>
      <w:bookmarkEnd w:id="784"/>
    </w:p>
    <w:p>
      <w:pPr>
        <w:spacing w:line="360" w:lineRule="auto"/>
        <w:ind w:firstLine="420" w:firstLineChars="200"/>
        <w:rPr>
          <w:rFonts w:hint="default"/>
          <w:color w:val="auto"/>
          <w:highlight w:val="none"/>
          <w:lang w:val="en-US" w:eastAsia="zh-CN"/>
        </w:rPr>
      </w:pPr>
      <w:r>
        <w:rPr>
          <w:rFonts w:hint="default"/>
          <w:color w:val="auto"/>
          <w:highlight w:val="none"/>
          <w:lang w:val="en-US" w:eastAsia="zh-CN"/>
        </w:rPr>
        <w:t>核心数据委托处理在</w:t>
      </w:r>
      <w:r>
        <w:rPr>
          <w:rFonts w:hint="eastAsia" w:ascii="宋体" w:hAnsi="宋体" w:eastAsia="宋体" w:cs="宋体"/>
          <w:color w:val="auto"/>
          <w:highlight w:val="none"/>
          <w:lang w:val="en-US" w:eastAsia="zh-CN"/>
        </w:rPr>
        <w:t>9</w:t>
      </w:r>
      <w:r>
        <w:rPr>
          <w:rFonts w:hint="eastAsia"/>
          <w:color w:val="auto"/>
          <w:highlight w:val="none"/>
          <w:lang w:val="en-US" w:eastAsia="zh-CN"/>
        </w:rPr>
        <w:t>.</w:t>
      </w:r>
      <w:r>
        <w:rPr>
          <w:rFonts w:hint="eastAsia" w:ascii="宋体" w:hAnsi="宋体" w:eastAsia="宋体" w:cs="宋体"/>
          <w:color w:val="auto"/>
          <w:highlight w:val="none"/>
          <w:lang w:val="en-US" w:eastAsia="zh-CN"/>
        </w:rPr>
        <w:t>11</w:t>
      </w:r>
      <w:r>
        <w:rPr>
          <w:rFonts w:hint="eastAsia"/>
          <w:color w:val="auto"/>
          <w:highlight w:val="none"/>
          <w:lang w:val="en-US" w:eastAsia="zh-CN"/>
        </w:rPr>
        <w:t>.</w:t>
      </w:r>
      <w:r>
        <w:rPr>
          <w:rFonts w:hint="default" w:ascii="宋体" w:hAnsi="宋体" w:eastAsia="宋体" w:cs="宋体"/>
          <w:color w:val="auto"/>
          <w:highlight w:val="none"/>
          <w:lang w:val="en-US" w:eastAsia="zh-CN"/>
        </w:rPr>
        <w:t>2</w:t>
      </w:r>
      <w:r>
        <w:rPr>
          <w:rFonts w:hint="default"/>
          <w:color w:val="auto"/>
          <w:highlight w:val="none"/>
          <w:lang w:val="en-US" w:eastAsia="zh-CN"/>
        </w:rPr>
        <w:t>的基础上还应满足以下要求</w:t>
      </w:r>
      <w:r>
        <w:rPr>
          <w:rFonts w:hint="eastAsia" w:ascii="宋体" w:hAnsi="宋体"/>
          <w:color w:val="auto"/>
          <w:highlight w:val="none"/>
          <w:lang w:val="en-US" w:eastAsia="zh-CN"/>
        </w:rPr>
        <w:t>：</w:t>
      </w:r>
    </w:p>
    <w:p>
      <w:pPr>
        <w:spacing w:line="360" w:lineRule="auto"/>
        <w:ind w:firstLine="420" w:firstLineChars="200"/>
        <w:rPr>
          <w:rFonts w:hint="default"/>
          <w:highlight w:val="none"/>
          <w:lang w:val="en-US" w:eastAsia="zh-CN"/>
        </w:rPr>
      </w:pPr>
      <w:r>
        <w:rPr>
          <w:rFonts w:hint="default"/>
          <w:color w:val="auto"/>
          <w:highlight w:val="none"/>
          <w:lang w:val="en-US" w:eastAsia="zh-CN"/>
        </w:rPr>
        <w:t>应当评估安全风险，采取必要的安全保护措施，并报有关部门审查</w:t>
      </w:r>
      <w:r>
        <w:rPr>
          <w:rFonts w:hint="eastAsia"/>
          <w:color w:val="auto"/>
          <w:highlight w:val="none"/>
          <w:lang w:val="en-US" w:eastAsia="zh-CN"/>
        </w:rPr>
        <w:t>。</w:t>
      </w:r>
    </w:p>
    <w:p>
      <w:pPr>
        <w:rPr>
          <w:rFonts w:hint="default"/>
          <w:highlight w:val="none"/>
          <w:lang w:val="en-US" w:eastAsia="zh-CN"/>
        </w:rPr>
      </w:pPr>
    </w:p>
    <w:p>
      <w:pPr>
        <w:pStyle w:val="25"/>
        <w:ind w:left="0" w:leftChars="0" w:firstLine="0" w:firstLineChars="0"/>
        <w:rPr>
          <w:rFonts w:hint="default"/>
          <w:color w:val="auto"/>
          <w:highlight w:val="none"/>
          <w:lang w:val="en-US" w:eastAsia="zh-CN"/>
        </w:rPr>
        <w:sectPr>
          <w:headerReference r:id="rId10" w:type="default"/>
          <w:footerReference r:id="rId12" w:type="default"/>
          <w:headerReference r:id="rId11" w:type="even"/>
          <w:footerReference r:id="rId13" w:type="even"/>
          <w:pgSz w:w="11906" w:h="16838"/>
          <w:pgMar w:top="1417" w:right="1134" w:bottom="1134" w:left="1417" w:header="1418" w:footer="1134" w:gutter="0"/>
          <w:pgBorders>
            <w:top w:val="none" w:sz="0" w:space="0"/>
            <w:left w:val="none" w:sz="0" w:space="0"/>
            <w:bottom w:val="none" w:sz="0" w:space="0"/>
            <w:right w:val="none" w:sz="0" w:space="0"/>
          </w:pgBorders>
          <w:pgNumType w:fmt="decimal" w:start="1"/>
          <w:cols w:space="0" w:num="1"/>
          <w:formProt w:val="0"/>
          <w:docGrid w:type="lines" w:linePitch="312" w:charSpace="0"/>
        </w:sectPr>
      </w:pPr>
    </w:p>
    <w:p>
      <w:pPr>
        <w:pStyle w:val="26"/>
        <w:numPr>
          <w:ilvl w:val="255"/>
          <w:numId w:val="0"/>
        </w:numPr>
        <w:spacing w:before="156" w:after="156" w:line="360" w:lineRule="auto"/>
        <w:ind w:firstLine="420" w:firstLineChars="200"/>
        <w:jc w:val="center"/>
        <w:outlineLvl w:val="0"/>
        <w:rPr>
          <w:rFonts w:hint="eastAsia"/>
          <w:color w:val="auto"/>
          <w:sz w:val="21"/>
          <w:szCs w:val="21"/>
          <w:highlight w:val="none"/>
          <w:lang w:val="en-US" w:eastAsia="zh-CN"/>
        </w:rPr>
      </w:pPr>
      <w:bookmarkStart w:id="785" w:name="_Toc21214"/>
      <w:bookmarkStart w:id="786" w:name="_Toc7468"/>
      <w:bookmarkStart w:id="787" w:name="_Toc8281"/>
      <w:bookmarkStart w:id="788" w:name="_Toc26965"/>
      <w:bookmarkStart w:id="789" w:name="_Toc11116"/>
      <w:bookmarkStart w:id="790" w:name="_Toc19222"/>
      <w:bookmarkStart w:id="791" w:name="_Toc15863"/>
      <w:r>
        <w:rPr>
          <w:rFonts w:hint="eastAsia"/>
          <w:color w:val="auto"/>
          <w:sz w:val="21"/>
          <w:szCs w:val="21"/>
          <w:highlight w:val="none"/>
          <w:lang w:val="en-US" w:eastAsia="zh-CN"/>
        </w:rPr>
        <w:t>参　考　文　献</w:t>
      </w:r>
      <w:bookmarkEnd w:id="785"/>
      <w:bookmarkEnd w:id="786"/>
      <w:bookmarkEnd w:id="787"/>
      <w:bookmarkEnd w:id="788"/>
      <w:bookmarkEnd w:id="789"/>
      <w:bookmarkEnd w:id="790"/>
      <w:bookmarkEnd w:id="791"/>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35274-2017  信息安全技术  大数据服务安全能力要求</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41479-2022  信息安全技术  网络数据处理安全要求</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37973-2019  信息安全技术  大数据安全管理指南</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37988-2019  信息安全技术  数据安全能力成熟度模型</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36073-2018  数据管理能力成熟度评估模型</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38667-2020  信息技术 大数据 数据分类指南</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42128-2022  智能制造  工业数据  分类原则</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42127-2022  智能制造  工业数据  采集规范</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40693-2021  智能制造  工业云服务    数据管理通用要求</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39400-2020  工业数据质量  通用技术规范</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41400-2022  信息安全技术  工业控制系统信息安全防护能力成熟度模型</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DB15/T 1874-2020  公共大数据安全管理指南</w:t>
      </w:r>
    </w:p>
    <w:p>
      <w:pPr>
        <w:pStyle w:val="2"/>
        <w:numPr>
          <w:ilvl w:val="0"/>
          <w:numId w:val="97"/>
        </w:numPr>
        <w:tabs>
          <w:tab w:val="left" w:pos="6523"/>
        </w:tabs>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DB15/T 2197-2021  大数据应用  数据安全管理责任指南</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DB15/T 2199-2021  数据交易安全技术要求</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DB52/T 1557-2021  大</w:t>
      </w:r>
      <w:r>
        <w:rPr>
          <w:rFonts w:hint="eastAsia" w:ascii="宋体" w:hAnsi="宋体" w:cs="宋体"/>
          <w:color w:val="auto"/>
          <w:sz w:val="21"/>
          <w:szCs w:val="21"/>
          <w:highlight w:val="none"/>
          <w:lang w:val="en-US" w:eastAsia="zh-CN"/>
        </w:rPr>
        <w:t>工业数据开放</w:t>
      </w:r>
      <w:r>
        <w:rPr>
          <w:rFonts w:hint="eastAsia" w:ascii="宋体" w:hAnsi="宋体" w:eastAsia="宋体" w:cs="宋体"/>
          <w:color w:val="auto"/>
          <w:sz w:val="21"/>
          <w:szCs w:val="21"/>
          <w:highlight w:val="none"/>
          <w:lang w:val="en-US" w:eastAsia="zh-CN"/>
        </w:rPr>
        <w:t>共享安全管理规范</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DB3212/T 1116-2022  政务数据安全分类分级指南</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DB14/T 2442-2022  政务数据分类分级要求</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DB2201/T 17-2022  政务数据安全分类分级指南</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DB11/T 1918-2021  政务数据分级与安全保护规范</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DB52/T 1123-2021  政务数据  数据分类</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DB3301/T 0322.3-2020  数据资源管理 第3部分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政务数据分类分级</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DB33/T 2351-2021  公共数据分类分级指南</w:t>
      </w:r>
    </w:p>
    <w:p>
      <w:pPr>
        <w:pStyle w:val="2"/>
        <w:numPr>
          <w:ilvl w:val="0"/>
          <w:numId w:val="97"/>
        </w:numPr>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DB14/T 2526-2022  工业互联网综合平台  数据质量管理要求</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《工业数据分类分级指南（试行）》</w:t>
      </w:r>
    </w:p>
    <w:p>
      <w:pPr>
        <w:pStyle w:val="2"/>
        <w:numPr>
          <w:ilvl w:val="0"/>
          <w:numId w:val="97"/>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《工业和信息化领域数据安全管理办法（试行）》</w:t>
      </w:r>
    </w:p>
    <w:bookmarkEnd w:id="223"/>
    <w:bookmarkEnd w:id="224"/>
    <w:p>
      <w:pPr>
        <w:pStyle w:val="48"/>
        <w:bidi w:val="0"/>
        <w:spacing w:line="360" w:lineRule="auto"/>
        <w:jc w:val="center"/>
        <w:rPr>
          <w:color w:val="auto"/>
          <w:highlight w:val="none"/>
        </w:rPr>
      </w:pPr>
      <w:r>
        <w:rPr>
          <w:color w:val="auto"/>
          <w:highlight w:val="none"/>
        </w:rPr>
        <w:t>________________________________</w:t>
      </w:r>
    </w:p>
    <w:sectPr>
      <w:pgSz w:w="11906" w:h="16838"/>
      <w:pgMar w:top="1417" w:right="1134" w:bottom="1134" w:left="1417" w:header="1418" w:footer="1134" w:gutter="0"/>
      <w:pgBorders>
        <w:top w:val="none" w:sz="0" w:space="0"/>
        <w:left w:val="none" w:sz="0" w:space="0"/>
        <w:bottom w:val="none" w:sz="0" w:space="0"/>
        <w:right w:val="none" w:sz="0" w:space="0"/>
      </w:pgBorders>
      <w:pgNumType w:fmt="decimal"/>
      <w:cols w:space="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pPr>
                          <w:r>
                            <w:rPr>
                              <w:rFonts w:hint="eastAsia"/>
                            </w:rPr>
                            <w:t>Ⅲ</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51"/>
                    </w:pPr>
                    <w:r>
                      <w:rPr>
                        <w:rFonts w:hint="eastAsia"/>
                      </w:rPr>
                      <w:t>Ⅲ</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I</w:t>
                          </w:r>
                          <w:r>
                            <w:rPr>
                              <w:rFonts w:hint="eastAsia" w:ascii="宋体" w:hAnsi="宋体" w:cs="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I</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pPr>
                          <w:r>
                            <w:rPr>
                              <w:rFonts w:hint="eastAsia"/>
                            </w:rPr>
                            <w:t>Ⅲ</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fill on="f" focussize="0,0"/>
              <v:stroke on="f"/>
              <v:imagedata o:title=""/>
              <o:lock v:ext="edit" aspectratio="f"/>
              <v:textbox inset="0mm,0mm,0mm,0mm" style="mso-fit-shape-to-text:t;">
                <w:txbxContent>
                  <w:p>
                    <w:pPr>
                      <w:pStyle w:val="51"/>
                    </w:pPr>
                    <w:r>
                      <w:rPr>
                        <w:rFonts w:hint="eastAsia"/>
                      </w:rPr>
                      <w:t>Ⅲ</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2"/>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52"/>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ascii="宋体" w:hAnsi="宋体"/>
                            </w:rPr>
                            <w:t>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ascii="宋体" w:hAnsi="宋体"/>
                      </w:rPr>
                      <w:t>II</w:t>
                    </w:r>
                    <w:r>
                      <w:rPr>
                        <w:rFonts w:hint="eastAsia"/>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6HyKsIBAACP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xcA8K7Q8LCpZ+MOkJNxXBOhdG0U3kR/ryXrKf/aP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h8irCAQAAjwMAAA4AAAAAAAAAAQAgAAAAHgEAAGRycy9lMm9Eb2MueG1sUEsF&#10;BgAAAAAGAAYAWQEAAFIFAAAAAA==&#10;">
              <v:fill on="f" focussize="0,0"/>
              <v:stroke on="f"/>
              <v:imagedata o:title=""/>
              <o:lock v:ext="edit" aspectratio="f"/>
              <v:textbox inset="0mm,0mm,0mm,0mm" style="mso-fit-shape-to-text:t;">
                <w:txbxContent>
                  <w:p>
                    <w:pPr>
                      <w:pStyle w:val="51"/>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2"/>
                          </w:pPr>
                          <w:r>
                            <w:fldChar w:fldCharType="begin"/>
                          </w:r>
                          <w:r>
                            <w:instrText xml:space="preserve"> PAGE  \* MERGEFORMAT </w:instrText>
                          </w:r>
                          <w:r>
                            <w:fldChar w:fldCharType="separate"/>
                          </w:r>
                          <w:r>
                            <w:t>16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JtqMIBAACP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SbajCAQAAjwMAAA4AAAAAAAAAAQAgAAAAHgEAAGRycy9lMm9Eb2MueG1sUEsF&#10;BgAAAAAGAAYAWQEAAFIFAAAAAA==&#10;">
              <v:fill on="f" focussize="0,0"/>
              <v:stroke on="f"/>
              <v:imagedata o:title=""/>
              <o:lock v:ext="edit" aspectratio="f"/>
              <v:textbox inset="0mm,0mm,0mm,0mm" style="mso-fit-shape-to-text:t;">
                <w:txbxContent>
                  <w:p>
                    <w:pPr>
                      <w:pStyle w:val="5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xXCMI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IcVwjCAQAAjwMAAA4AAAAAAAAAAQAgAAAAHgEAAGRycy9lMm9Eb2MueG1sUEsF&#10;BgAAAAAGAAYAWQEAAFIFAAAAAA==&#10;">
              <v:fill on="f" focussize="0,0"/>
              <v:stroke on="f"/>
              <v:imagedata o:title=""/>
              <o:lock v:ext="edit" aspectratio="f"/>
              <v:textbox inset="0mm,0mm,0mm,0mm" style="mso-fit-shape-to-text:t;">
                <w:txbxContent>
                  <w:p>
                    <w:pPr>
                      <w:pStyle w:val="51"/>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right"/>
      <w:rPr>
        <w:rFonts w:hint="default" w:eastAsia="黑体"/>
        <w:lang w:val="en-US" w:eastAsia="zh-CN"/>
      </w:rPr>
    </w:pPr>
    <w:r>
      <w:rPr>
        <w:rFonts w:ascii="宋体" w:hAnsi="宋体"/>
      </w:rPr>
      <w:t>DB</w:t>
    </w:r>
    <w:r>
      <w:rPr>
        <w:rFonts w:ascii="宋体" w:hAnsi="宋体" w:eastAsia="宋体" w:cs="宋体"/>
      </w:rPr>
      <w:t>21</w:t>
    </w:r>
    <w:r>
      <w:t>/</w:t>
    </w:r>
    <w:r>
      <w:rPr>
        <w:rFonts w:ascii="宋体" w:hAnsi="宋体"/>
      </w:rPr>
      <w:t>TXXXXX</w:t>
    </w:r>
    <w:r>
      <w:t>—</w:t>
    </w:r>
    <w:r>
      <w:rPr>
        <w:rFonts w:hint="eastAsia" w:ascii="宋体" w:hAnsi="宋体"/>
        <w:lang w:val="en-US" w:eastAsia="zh-CN"/>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Fonts w:hint="default" w:eastAsia="黑体"/>
        <w:lang w:val="en-US" w:eastAsia="zh-CN"/>
      </w:rPr>
    </w:pPr>
    <w:r>
      <w:rPr>
        <w:rFonts w:ascii="宋体" w:hAnsi="宋体"/>
      </w:rPr>
      <w:t>DB</w:t>
    </w:r>
    <w:r>
      <w:rPr>
        <w:rFonts w:hint="eastAsia" w:ascii="宋体" w:hAnsi="宋体" w:eastAsia="宋体" w:cs="宋体"/>
      </w:rPr>
      <w:t>21</w:t>
    </w:r>
    <w:r>
      <w:t>/</w:t>
    </w:r>
    <w:r>
      <w:rPr>
        <w:rFonts w:hint="eastAsia" w:ascii="宋体" w:hAnsi="宋体"/>
      </w:rPr>
      <w:t>T</w:t>
    </w:r>
    <w:r>
      <w:rPr>
        <w:rFonts w:ascii="宋体" w:hAnsi="宋体"/>
      </w:rPr>
      <w:t>XXXX</w:t>
    </w:r>
    <w:r>
      <w:rPr>
        <w:rFonts w:hAnsi="黑体"/>
      </w:rPr>
      <w:t>—</w:t>
    </w:r>
    <w:r>
      <w:rPr>
        <w:rFonts w:hint="eastAsia" w:ascii="宋体" w:hAnsi="宋体"/>
        <w:lang w:val="en-US" w:eastAsia="zh-CN"/>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Fonts w:hint="default" w:eastAsia="黑体"/>
        <w:lang w:val="en-US" w:eastAsia="zh-CN"/>
      </w:rPr>
    </w:pPr>
    <w:r>
      <w:rPr>
        <w:rFonts w:ascii="宋体" w:hAnsi="宋体"/>
      </w:rPr>
      <w:t>DB</w:t>
    </w:r>
    <w:r>
      <w:rPr>
        <w:rFonts w:hint="eastAsia" w:ascii="宋体" w:hAnsi="宋体" w:eastAsia="宋体" w:cs="宋体"/>
      </w:rPr>
      <w:t>21</w:t>
    </w:r>
    <w:r>
      <w:t>/</w:t>
    </w:r>
    <w:r>
      <w:rPr>
        <w:rFonts w:hint="eastAsia" w:ascii="宋体" w:hAnsi="宋体"/>
      </w:rPr>
      <w:t>T</w:t>
    </w:r>
    <w:r>
      <w:rPr>
        <w:rFonts w:ascii="宋体" w:hAnsi="宋体"/>
      </w:rPr>
      <w:t>XXXX</w:t>
    </w:r>
    <w:r>
      <w:rPr>
        <w:rFonts w:hAnsi="黑体"/>
      </w:rPr>
      <w:t>—</w:t>
    </w:r>
    <w:r>
      <w:rPr>
        <w:rFonts w:hint="eastAsia" w:ascii="宋体" w:hAnsi="宋体"/>
        <w:lang w:val="en-US" w:eastAsia="zh-CN"/>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Fonts w:hint="default" w:hAnsi="黑体" w:eastAsia="黑体" w:cs="黑体"/>
        <w:lang w:val="en-US" w:eastAsia="zh-CN"/>
      </w:rPr>
    </w:pPr>
    <w:r>
      <w:rPr>
        <w:rFonts w:hint="eastAsia" w:ascii="宋体" w:hAnsi="宋体" w:cs="黑体"/>
      </w:rPr>
      <w:t>DB</w:t>
    </w:r>
    <w:r>
      <w:rPr>
        <w:rFonts w:hint="eastAsia" w:ascii="宋体" w:hAnsi="宋体" w:eastAsia="宋体" w:cs="宋体"/>
      </w:rPr>
      <w:t>21</w:t>
    </w:r>
    <w:r>
      <w:rPr>
        <w:rFonts w:hint="eastAsia" w:hAnsi="黑体" w:cs="黑体"/>
      </w:rPr>
      <w:t>/</w:t>
    </w:r>
    <w:r>
      <w:rPr>
        <w:rFonts w:hint="eastAsia" w:ascii="宋体" w:hAnsi="宋体" w:cs="黑体"/>
      </w:rPr>
      <w:t>TXXXXX</w:t>
    </w:r>
    <w:r>
      <w:rPr>
        <w:rFonts w:hint="eastAsia" w:hAnsi="黑体" w:cs="黑体"/>
      </w:rPr>
      <w:t>—</w:t>
    </w:r>
    <w:r>
      <w:rPr>
        <w:rFonts w:hint="eastAsia" w:ascii="宋体" w:hAnsi="宋体" w:cs="黑体"/>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3CDD1"/>
    <w:multiLevelType w:val="singleLevel"/>
    <w:tmpl w:val="8063CDD1"/>
    <w:lvl w:ilvl="0" w:tentative="0">
      <w:start w:val="1"/>
      <w:numFmt w:val="decimal"/>
      <w:suff w:val="space"/>
      <w:lvlText w:val="%1）"/>
      <w:lvlJc w:val="left"/>
      <w:pPr>
        <w:tabs>
          <w:tab w:val="left" w:pos="0"/>
        </w:tabs>
        <w:ind w:left="1259" w:leftChars="0" w:hanging="420" w:firstLineChars="0"/>
      </w:pPr>
      <w:rPr>
        <w:rFonts w:hint="default"/>
      </w:rPr>
    </w:lvl>
  </w:abstractNum>
  <w:abstractNum w:abstractNumId="1">
    <w:nsid w:val="80D54593"/>
    <w:multiLevelType w:val="singleLevel"/>
    <w:tmpl w:val="80D54593"/>
    <w:lvl w:ilvl="0" w:tentative="0">
      <w:start w:val="1"/>
      <w:numFmt w:val="lowerLetter"/>
      <w:suff w:val="space"/>
      <w:lvlText w:val="%1）"/>
      <w:lvlJc w:val="left"/>
      <w:pPr>
        <w:tabs>
          <w:tab w:val="left" w:pos="0"/>
        </w:tabs>
        <w:ind w:left="420" w:leftChars="0" w:hanging="420" w:firstLineChars="0"/>
      </w:pPr>
      <w:rPr>
        <w:rFonts w:hint="default" w:ascii="宋体" w:hAnsi="宋体" w:eastAsia="宋体" w:cs="宋体"/>
      </w:rPr>
    </w:lvl>
  </w:abstractNum>
  <w:abstractNum w:abstractNumId="2">
    <w:nsid w:val="81A7DD49"/>
    <w:multiLevelType w:val="multilevel"/>
    <w:tmpl w:val="81A7DD49"/>
    <w:lvl w:ilvl="0" w:tentative="0">
      <w:start w:val="1"/>
      <w:numFmt w:val="decimal"/>
      <w:pStyle w:val="2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tabs>
          <w:tab w:val="left" w:pos="0"/>
        </w:tabs>
        <w:ind w:left="0" w:firstLine="0"/>
      </w:pPr>
      <w:rPr>
        <w:rFonts w:hint="eastAsia" w:ascii="黑体" w:hAnsi="Times New Roman" w:eastAsia="黑体"/>
        <w:b w:val="0"/>
        <w:i w:val="0"/>
        <w:sz w:val="21"/>
      </w:rPr>
    </w:lvl>
    <w:lvl w:ilvl="3" w:tentative="0">
      <w:start w:val="1"/>
      <w:numFmt w:val="decimal"/>
      <w:pStyle w:val="28"/>
      <w:suff w:val="nothing"/>
      <w:lvlText w:val="%1.%2.%3.%4　"/>
      <w:lvlJc w:val="left"/>
      <w:pPr>
        <w:tabs>
          <w:tab w:val="left" w:pos="0"/>
        </w:tabs>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8CC1B152"/>
    <w:multiLevelType w:val="singleLevel"/>
    <w:tmpl w:val="8CC1B152"/>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4">
    <w:nsid w:val="8DAFA897"/>
    <w:multiLevelType w:val="singleLevel"/>
    <w:tmpl w:val="8DAFA897"/>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5">
    <w:nsid w:val="8E330C46"/>
    <w:multiLevelType w:val="multilevel"/>
    <w:tmpl w:val="8E330C46"/>
    <w:lvl w:ilvl="0" w:tentative="0">
      <w:start w:val="1"/>
      <w:numFmt w:val="upperLetter"/>
      <w:pStyle w:val="61"/>
      <w:suff w:val="nothing"/>
      <w:lvlText w:val="附　录　%1"/>
      <w:lvlJc w:val="left"/>
      <w:pPr>
        <w:tabs>
          <w:tab w:val="left" w:pos="420"/>
        </w:tabs>
        <w:ind w:left="432" w:hanging="432"/>
      </w:pPr>
      <w:rPr>
        <w:rFonts w:hint="default" w:ascii="黑体" w:hAnsi="黑体" w:eastAsia="黑体" w:cs="黑体"/>
        <w:sz w:val="21"/>
        <w:szCs w:val="21"/>
      </w:rPr>
    </w:lvl>
    <w:lvl w:ilvl="1" w:tentative="0">
      <w:start w:val="1"/>
      <w:numFmt w:val="decimal"/>
      <w:pStyle w:val="62"/>
      <w:suff w:val="nothing"/>
      <w:lvlText w:val="%1.%2　"/>
      <w:lvlJc w:val="left"/>
      <w:pPr>
        <w:tabs>
          <w:tab w:val="left" w:pos="420"/>
        </w:tabs>
        <w:ind w:left="575" w:hanging="575"/>
      </w:pPr>
      <w:rPr>
        <w:rFonts w:hint="default" w:ascii="黑体" w:hAnsi="黑体" w:eastAsia="黑体" w:cs="黑体"/>
        <w:sz w:val="21"/>
        <w:szCs w:val="21"/>
      </w:rPr>
    </w:lvl>
    <w:lvl w:ilvl="2" w:tentative="0">
      <w:start w:val="1"/>
      <w:numFmt w:val="decimal"/>
      <w:pStyle w:val="63"/>
      <w:suff w:val="nothing"/>
      <w:lvlText w:val="%1.%2.%3　"/>
      <w:lvlJc w:val="left"/>
      <w:pPr>
        <w:tabs>
          <w:tab w:val="left" w:pos="420"/>
        </w:tabs>
        <w:ind w:left="720" w:hanging="720"/>
      </w:pPr>
      <w:rPr>
        <w:rFonts w:hint="default" w:ascii="黑体" w:hAnsi="黑体" w:eastAsia="黑体" w:cs="黑体"/>
        <w:sz w:val="21"/>
        <w:szCs w:val="21"/>
      </w:rPr>
    </w:lvl>
    <w:lvl w:ilvl="3" w:tentative="0">
      <w:start w:val="1"/>
      <w:numFmt w:val="decimal"/>
      <w:pStyle w:val="65"/>
      <w:suff w:val="nothing"/>
      <w:lvlText w:val="%1.%2.%3.%4　"/>
      <w:lvlJc w:val="left"/>
      <w:pPr>
        <w:tabs>
          <w:tab w:val="left" w:pos="0"/>
        </w:tabs>
        <w:ind w:left="864" w:hanging="864"/>
      </w:pPr>
      <w:rPr>
        <w:rFonts w:hint="default" w:ascii="黑体" w:hAnsi="黑体" w:eastAsia="黑体" w:cs="黑体"/>
        <w:sz w:val="21"/>
        <w:szCs w:val="21"/>
      </w:rPr>
    </w:lvl>
    <w:lvl w:ilvl="4" w:tentative="0">
      <w:start w:val="1"/>
      <w:numFmt w:val="decimal"/>
      <w:pStyle w:val="66"/>
      <w:suff w:val="nothing"/>
      <w:lvlText w:val="%1.%2.%3.%4.%5　"/>
      <w:lvlJc w:val="left"/>
      <w:pPr>
        <w:tabs>
          <w:tab w:val="left" w:pos="420"/>
        </w:tabs>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8ECA1379"/>
    <w:multiLevelType w:val="singleLevel"/>
    <w:tmpl w:val="8ECA1379"/>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7">
    <w:nsid w:val="913EEC7D"/>
    <w:multiLevelType w:val="singleLevel"/>
    <w:tmpl w:val="913EEC7D"/>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8">
    <w:nsid w:val="918CCC7F"/>
    <w:multiLevelType w:val="singleLevel"/>
    <w:tmpl w:val="918CCC7F"/>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9">
    <w:nsid w:val="93E69BF1"/>
    <w:multiLevelType w:val="singleLevel"/>
    <w:tmpl w:val="93E69BF1"/>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0">
    <w:nsid w:val="9490F957"/>
    <w:multiLevelType w:val="singleLevel"/>
    <w:tmpl w:val="9490F957"/>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1">
    <w:nsid w:val="96B8E5F2"/>
    <w:multiLevelType w:val="singleLevel"/>
    <w:tmpl w:val="96B8E5F2"/>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2">
    <w:nsid w:val="9B93CC53"/>
    <w:multiLevelType w:val="singleLevel"/>
    <w:tmpl w:val="9B93CC53"/>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3">
    <w:nsid w:val="9BB9CB4F"/>
    <w:multiLevelType w:val="singleLevel"/>
    <w:tmpl w:val="9BB9CB4F"/>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4">
    <w:nsid w:val="9C2FB3DC"/>
    <w:multiLevelType w:val="singleLevel"/>
    <w:tmpl w:val="9C2FB3DC"/>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5">
    <w:nsid w:val="9CF7D3FC"/>
    <w:multiLevelType w:val="singleLevel"/>
    <w:tmpl w:val="9CF7D3FC"/>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6">
    <w:nsid w:val="A0E982DA"/>
    <w:multiLevelType w:val="singleLevel"/>
    <w:tmpl w:val="A0E982DA"/>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7">
    <w:nsid w:val="A2FCFE93"/>
    <w:multiLevelType w:val="singleLevel"/>
    <w:tmpl w:val="A2FCFE93"/>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8">
    <w:nsid w:val="A8304A9B"/>
    <w:multiLevelType w:val="singleLevel"/>
    <w:tmpl w:val="A8304A9B"/>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19">
    <w:nsid w:val="A8EDB417"/>
    <w:multiLevelType w:val="singleLevel"/>
    <w:tmpl w:val="A8EDB417"/>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20">
    <w:nsid w:val="AEA6138B"/>
    <w:multiLevelType w:val="singleLevel"/>
    <w:tmpl w:val="AEA6138B"/>
    <w:lvl w:ilvl="0" w:tentative="0">
      <w:start w:val="1"/>
      <w:numFmt w:val="decimal"/>
      <w:suff w:val="space"/>
      <w:lvlText w:val="%1）"/>
      <w:lvlJc w:val="left"/>
      <w:pPr>
        <w:tabs>
          <w:tab w:val="left" w:pos="0"/>
        </w:tabs>
        <w:ind w:left="1259" w:leftChars="0" w:hanging="420" w:firstLineChars="0"/>
      </w:pPr>
      <w:rPr>
        <w:rFonts w:hint="default"/>
      </w:rPr>
    </w:lvl>
  </w:abstractNum>
  <w:abstractNum w:abstractNumId="21">
    <w:nsid w:val="B183B32D"/>
    <w:multiLevelType w:val="singleLevel"/>
    <w:tmpl w:val="B183B32D"/>
    <w:lvl w:ilvl="0" w:tentative="0">
      <w:start w:val="1"/>
      <w:numFmt w:val="decimal"/>
      <w:suff w:val="space"/>
      <w:lvlText w:val="%1）"/>
      <w:lvlJc w:val="left"/>
      <w:pPr>
        <w:tabs>
          <w:tab w:val="left" w:pos="0"/>
        </w:tabs>
        <w:ind w:left="1259" w:leftChars="0" w:hanging="420" w:firstLineChars="0"/>
      </w:pPr>
      <w:rPr>
        <w:rFonts w:hint="default"/>
      </w:rPr>
    </w:lvl>
  </w:abstractNum>
  <w:abstractNum w:abstractNumId="22">
    <w:nsid w:val="B214E987"/>
    <w:multiLevelType w:val="singleLevel"/>
    <w:tmpl w:val="B214E987"/>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23">
    <w:nsid w:val="B7B425BC"/>
    <w:multiLevelType w:val="singleLevel"/>
    <w:tmpl w:val="B7B425BC"/>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24">
    <w:nsid w:val="B8D0FFD0"/>
    <w:multiLevelType w:val="singleLevel"/>
    <w:tmpl w:val="B8D0FFD0"/>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25">
    <w:nsid w:val="C55E5358"/>
    <w:multiLevelType w:val="singleLevel"/>
    <w:tmpl w:val="C55E5358"/>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26">
    <w:nsid w:val="C6A52097"/>
    <w:multiLevelType w:val="singleLevel"/>
    <w:tmpl w:val="C6A52097"/>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27">
    <w:nsid w:val="D07F1633"/>
    <w:multiLevelType w:val="singleLevel"/>
    <w:tmpl w:val="D07F1633"/>
    <w:lvl w:ilvl="0" w:tentative="0">
      <w:start w:val="1"/>
      <w:numFmt w:val="decimal"/>
      <w:suff w:val="space"/>
      <w:lvlText w:val="%1）"/>
      <w:lvlJc w:val="left"/>
      <w:pPr>
        <w:tabs>
          <w:tab w:val="left" w:pos="0"/>
        </w:tabs>
        <w:ind w:left="1259" w:leftChars="0" w:hanging="420" w:firstLineChars="0"/>
      </w:pPr>
      <w:rPr>
        <w:rFonts w:hint="default"/>
      </w:rPr>
    </w:lvl>
  </w:abstractNum>
  <w:abstractNum w:abstractNumId="28">
    <w:nsid w:val="D1B1FC0A"/>
    <w:multiLevelType w:val="singleLevel"/>
    <w:tmpl w:val="D1B1FC0A"/>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29">
    <w:nsid w:val="D5F30551"/>
    <w:multiLevelType w:val="singleLevel"/>
    <w:tmpl w:val="D5F30551"/>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30">
    <w:nsid w:val="DDEF7296"/>
    <w:multiLevelType w:val="multilevel"/>
    <w:tmpl w:val="DDEF7296"/>
    <w:lvl w:ilvl="0" w:tentative="0">
      <w:start w:val="1"/>
      <w:numFmt w:val="decimal"/>
      <w:pStyle w:val="4"/>
      <w:lvlText w:val="%1."/>
      <w:lvlJc w:val="left"/>
      <w:pPr>
        <w:ind w:left="432" w:hanging="432"/>
      </w:pPr>
      <w:rPr>
        <w:rFonts w:hint="default"/>
      </w:rPr>
    </w:lvl>
    <w:lvl w:ilvl="1" w:tentative="0">
      <w:start w:val="1"/>
      <w:numFmt w:val="decimal"/>
      <w:lvlText w:val="%1.%2."/>
      <w:lvlJc w:val="left"/>
      <w:pPr>
        <w:tabs>
          <w:tab w:val="left" w:pos="0"/>
        </w:tabs>
        <w:ind w:left="0" w:leftChars="0" w:firstLine="0" w:firstLineChars="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1">
    <w:nsid w:val="E122D2BC"/>
    <w:multiLevelType w:val="singleLevel"/>
    <w:tmpl w:val="E122D2BC"/>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32">
    <w:nsid w:val="E164671E"/>
    <w:multiLevelType w:val="singleLevel"/>
    <w:tmpl w:val="E164671E"/>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33">
    <w:nsid w:val="E2FBDC4A"/>
    <w:multiLevelType w:val="singleLevel"/>
    <w:tmpl w:val="E2FBDC4A"/>
    <w:lvl w:ilvl="0" w:tentative="0">
      <w:start w:val="1"/>
      <w:numFmt w:val="decimal"/>
      <w:suff w:val="space"/>
      <w:lvlText w:val="%1）"/>
      <w:lvlJc w:val="left"/>
      <w:pPr>
        <w:tabs>
          <w:tab w:val="left" w:pos="0"/>
        </w:tabs>
        <w:ind w:left="1259" w:leftChars="0" w:hanging="420" w:firstLineChars="0"/>
      </w:pPr>
      <w:rPr>
        <w:rFonts w:hint="default"/>
      </w:rPr>
    </w:lvl>
  </w:abstractNum>
  <w:abstractNum w:abstractNumId="34">
    <w:nsid w:val="E4A5907F"/>
    <w:multiLevelType w:val="singleLevel"/>
    <w:tmpl w:val="E4A5907F"/>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35">
    <w:nsid w:val="E9A771ED"/>
    <w:multiLevelType w:val="singleLevel"/>
    <w:tmpl w:val="E9A771ED"/>
    <w:lvl w:ilvl="0" w:tentative="0">
      <w:start w:val="1"/>
      <w:numFmt w:val="decimal"/>
      <w:suff w:val="space"/>
      <w:lvlText w:val="%1）"/>
      <w:lvlJc w:val="left"/>
      <w:pPr>
        <w:tabs>
          <w:tab w:val="left" w:pos="0"/>
        </w:tabs>
        <w:ind w:left="1259" w:leftChars="0" w:hanging="420" w:firstLineChars="0"/>
      </w:pPr>
      <w:rPr>
        <w:rFonts w:hint="default"/>
      </w:rPr>
    </w:lvl>
  </w:abstractNum>
  <w:abstractNum w:abstractNumId="36">
    <w:nsid w:val="EB1065E4"/>
    <w:multiLevelType w:val="singleLevel"/>
    <w:tmpl w:val="EB1065E4"/>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37">
    <w:nsid w:val="EC1A4874"/>
    <w:multiLevelType w:val="singleLevel"/>
    <w:tmpl w:val="EC1A4874"/>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38">
    <w:nsid w:val="EE12A6D5"/>
    <w:multiLevelType w:val="multilevel"/>
    <w:tmpl w:val="EE12A6D5"/>
    <w:lvl w:ilvl="0" w:tentative="0">
      <w:start w:val="1"/>
      <w:numFmt w:val="decimal"/>
      <w:pStyle w:val="58"/>
      <w:suff w:val="nothing"/>
      <w:lvlText w:val="注%1："/>
      <w:lvlJc w:val="left"/>
      <w:pPr>
        <w:tabs>
          <w:tab w:val="left" w:pos="0"/>
        </w:tabs>
        <w:ind w:left="860" w:leftChars="0" w:hanging="497" w:firstLineChars="0"/>
      </w:pPr>
      <w:rPr>
        <w:rFonts w:hint="default" w:ascii="黑体" w:eastAsia="黑体"/>
        <w:b w:val="0"/>
        <w:i w:val="0"/>
        <w:sz w:val="18"/>
        <w:szCs w:val="18"/>
        <w:vertAlign w:val="baseline"/>
        <w:lang w:val="en-US"/>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9">
    <w:nsid w:val="EEA37599"/>
    <w:multiLevelType w:val="singleLevel"/>
    <w:tmpl w:val="EEA37599"/>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40">
    <w:nsid w:val="EF53EF8D"/>
    <w:multiLevelType w:val="singleLevel"/>
    <w:tmpl w:val="EF53EF8D"/>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41">
    <w:nsid w:val="F0050BA7"/>
    <w:multiLevelType w:val="singleLevel"/>
    <w:tmpl w:val="F0050BA7"/>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42">
    <w:nsid w:val="F1CFB804"/>
    <w:multiLevelType w:val="singleLevel"/>
    <w:tmpl w:val="F1CFB804"/>
    <w:lvl w:ilvl="0" w:tentative="0">
      <w:start w:val="1"/>
      <w:numFmt w:val="decimal"/>
      <w:suff w:val="space"/>
      <w:lvlText w:val="%1）"/>
      <w:lvlJc w:val="left"/>
      <w:pPr>
        <w:tabs>
          <w:tab w:val="left" w:pos="0"/>
        </w:tabs>
        <w:ind w:left="1259" w:leftChars="0" w:hanging="420" w:firstLineChars="0"/>
      </w:pPr>
      <w:rPr>
        <w:rFonts w:hint="default"/>
      </w:rPr>
    </w:lvl>
  </w:abstractNum>
  <w:abstractNum w:abstractNumId="43">
    <w:nsid w:val="F5DE5A8B"/>
    <w:multiLevelType w:val="singleLevel"/>
    <w:tmpl w:val="F5DE5A8B"/>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44">
    <w:nsid w:val="F8C46201"/>
    <w:multiLevelType w:val="singleLevel"/>
    <w:tmpl w:val="F8C46201"/>
    <w:lvl w:ilvl="0" w:tentative="0">
      <w:start w:val="1"/>
      <w:numFmt w:val="lowerLetter"/>
      <w:suff w:val="space"/>
      <w:lvlText w:val="%1）"/>
      <w:lvlJc w:val="left"/>
      <w:pPr>
        <w:tabs>
          <w:tab w:val="left" w:pos="0"/>
        </w:tabs>
        <w:ind w:left="420" w:leftChars="0" w:hanging="420" w:firstLineChars="0"/>
      </w:pPr>
      <w:rPr>
        <w:rFonts w:hint="default" w:ascii="宋体" w:hAnsi="宋体" w:eastAsia="宋体" w:cs="宋体"/>
      </w:rPr>
    </w:lvl>
  </w:abstractNum>
  <w:abstractNum w:abstractNumId="45">
    <w:nsid w:val="FBCC5D52"/>
    <w:multiLevelType w:val="singleLevel"/>
    <w:tmpl w:val="FBCC5D52"/>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46">
    <w:nsid w:val="FE2ED817"/>
    <w:multiLevelType w:val="singleLevel"/>
    <w:tmpl w:val="FE2ED817"/>
    <w:lvl w:ilvl="0" w:tentative="0">
      <w:start w:val="1"/>
      <w:numFmt w:val="decimal"/>
      <w:suff w:val="space"/>
      <w:lvlText w:val="%1）"/>
      <w:lvlJc w:val="left"/>
      <w:pPr>
        <w:tabs>
          <w:tab w:val="left" w:pos="0"/>
        </w:tabs>
        <w:ind w:left="1259" w:leftChars="0" w:hanging="420" w:firstLineChars="0"/>
      </w:pPr>
      <w:rPr>
        <w:rFonts w:hint="default"/>
      </w:rPr>
    </w:lvl>
  </w:abstractNum>
  <w:abstractNum w:abstractNumId="47">
    <w:nsid w:val="FF92D0F7"/>
    <w:multiLevelType w:val="multilevel"/>
    <w:tmpl w:val="FF92D0F7"/>
    <w:lvl w:ilvl="0" w:tentative="0">
      <w:start w:val="1"/>
      <w:numFmt w:val="decimal"/>
      <w:pStyle w:val="70"/>
      <w:suff w:val="nothing"/>
      <w:lvlText w:val="3.%1　"/>
      <w:lvlJc w:val="left"/>
      <w:pPr>
        <w:tabs>
          <w:tab w:val="left" w:pos="0"/>
        </w:tabs>
        <w:ind w:left="425" w:leftChars="0" w:hanging="425" w:firstLineChars="0"/>
      </w:pPr>
      <w:rPr>
        <w:rFonts w:hint="default" w:ascii="黑体" w:hAnsi="黑体" w:eastAsia="黑体" w:cs="黑体"/>
      </w:rPr>
    </w:lvl>
    <w:lvl w:ilvl="1" w:tentative="0">
      <w:start w:val="1"/>
      <w:numFmt w:val="none"/>
      <w:lvlText w:val=""/>
      <w:lvlJc w:val="left"/>
      <w:pPr>
        <w:tabs>
          <w:tab w:val="left" w:pos="840"/>
        </w:tabs>
        <w:ind w:left="840" w:leftChars="0" w:hanging="420" w:firstLineChars="0"/>
      </w:pPr>
      <w:rPr>
        <w:rFonts w:hint="default" w:ascii="宋体" w:hAnsi="宋体" w:eastAsia="宋体" w:cs="宋体"/>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48">
    <w:nsid w:val="00CE962B"/>
    <w:multiLevelType w:val="singleLevel"/>
    <w:tmpl w:val="00CE962B"/>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49">
    <w:nsid w:val="02AB8381"/>
    <w:multiLevelType w:val="multilevel"/>
    <w:tmpl w:val="02AB8381"/>
    <w:lvl w:ilvl="0" w:tentative="0">
      <w:start w:val="1"/>
      <w:numFmt w:val="none"/>
      <w:pStyle w:val="57"/>
      <w:suff w:val="nothing"/>
      <w:lvlText w:val="注："/>
      <w:lvlJc w:val="left"/>
      <w:pPr>
        <w:tabs>
          <w:tab w:val="left" w:pos="0"/>
        </w:tabs>
        <w:ind w:left="897" w:leftChars="0" w:hanging="477" w:firstLineChars="0"/>
      </w:pPr>
      <w:rPr>
        <w:rFonts w:hint="default" w:ascii="宋体" w:hAnsi="宋体" w:eastAsia="黑体" w:cs="宋体"/>
        <w:b w:val="0"/>
        <w:i w:val="0"/>
        <w:sz w:val="18"/>
        <w:lang w:val="en-US"/>
      </w:rPr>
    </w:lvl>
    <w:lvl w:ilvl="1" w:tentative="0">
      <w:start w:val="1"/>
      <w:numFmt w:val="lowerLetter"/>
      <w:lvlText w:val="%2)"/>
      <w:lvlJc w:val="left"/>
      <w:pPr>
        <w:tabs>
          <w:tab w:val="left" w:pos="0"/>
        </w:tabs>
        <w:ind w:left="572" w:hanging="629"/>
      </w:pPr>
      <w:rPr>
        <w:rFonts w:hint="eastAsia"/>
      </w:rPr>
    </w:lvl>
    <w:lvl w:ilvl="2" w:tentative="0">
      <w:start w:val="1"/>
      <w:numFmt w:val="lowerRoman"/>
      <w:lvlText w:val="%3."/>
      <w:lvlJc w:val="right"/>
      <w:pPr>
        <w:tabs>
          <w:tab w:val="left" w:pos="0"/>
        </w:tabs>
        <w:ind w:left="572" w:hanging="629"/>
      </w:pPr>
      <w:rPr>
        <w:rFonts w:hint="eastAsia"/>
      </w:rPr>
    </w:lvl>
    <w:lvl w:ilvl="3" w:tentative="0">
      <w:start w:val="1"/>
      <w:numFmt w:val="decimal"/>
      <w:lvlText w:val="%4."/>
      <w:lvlJc w:val="left"/>
      <w:pPr>
        <w:tabs>
          <w:tab w:val="left" w:pos="0"/>
        </w:tabs>
        <w:ind w:left="572" w:hanging="629"/>
      </w:pPr>
      <w:rPr>
        <w:rFonts w:hint="eastAsia"/>
      </w:rPr>
    </w:lvl>
    <w:lvl w:ilvl="4" w:tentative="0">
      <w:start w:val="1"/>
      <w:numFmt w:val="lowerLetter"/>
      <w:lvlText w:val="%5)"/>
      <w:lvlJc w:val="left"/>
      <w:pPr>
        <w:tabs>
          <w:tab w:val="left" w:pos="0"/>
        </w:tabs>
        <w:ind w:left="572" w:hanging="629"/>
      </w:pPr>
      <w:rPr>
        <w:rFonts w:hint="eastAsia"/>
      </w:rPr>
    </w:lvl>
    <w:lvl w:ilvl="5" w:tentative="0">
      <w:start w:val="1"/>
      <w:numFmt w:val="lowerRoman"/>
      <w:lvlText w:val="%6."/>
      <w:lvlJc w:val="right"/>
      <w:pPr>
        <w:tabs>
          <w:tab w:val="left" w:pos="0"/>
        </w:tabs>
        <w:ind w:left="572" w:hanging="629"/>
      </w:pPr>
      <w:rPr>
        <w:rFonts w:hint="eastAsia"/>
      </w:rPr>
    </w:lvl>
    <w:lvl w:ilvl="6" w:tentative="0">
      <w:start w:val="1"/>
      <w:numFmt w:val="decimal"/>
      <w:lvlText w:val="%7."/>
      <w:lvlJc w:val="left"/>
      <w:pPr>
        <w:tabs>
          <w:tab w:val="left" w:pos="0"/>
        </w:tabs>
        <w:ind w:left="572" w:hanging="629"/>
      </w:pPr>
      <w:rPr>
        <w:rFonts w:hint="eastAsia"/>
      </w:rPr>
    </w:lvl>
    <w:lvl w:ilvl="7" w:tentative="0">
      <w:start w:val="1"/>
      <w:numFmt w:val="lowerLetter"/>
      <w:lvlText w:val="%8)"/>
      <w:lvlJc w:val="left"/>
      <w:pPr>
        <w:tabs>
          <w:tab w:val="left" w:pos="0"/>
        </w:tabs>
        <w:ind w:left="572" w:hanging="629"/>
      </w:pPr>
      <w:rPr>
        <w:rFonts w:hint="eastAsia"/>
      </w:rPr>
    </w:lvl>
    <w:lvl w:ilvl="8" w:tentative="0">
      <w:start w:val="1"/>
      <w:numFmt w:val="lowerRoman"/>
      <w:lvlText w:val="%9."/>
      <w:lvlJc w:val="right"/>
      <w:pPr>
        <w:tabs>
          <w:tab w:val="left" w:pos="0"/>
        </w:tabs>
        <w:ind w:left="572" w:hanging="629"/>
      </w:pPr>
      <w:rPr>
        <w:rFonts w:hint="eastAsia"/>
      </w:rPr>
    </w:lvl>
  </w:abstractNum>
  <w:abstractNum w:abstractNumId="50">
    <w:nsid w:val="0431C0D4"/>
    <w:multiLevelType w:val="singleLevel"/>
    <w:tmpl w:val="0431C0D4"/>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51">
    <w:nsid w:val="04BB349C"/>
    <w:multiLevelType w:val="singleLevel"/>
    <w:tmpl w:val="04BB349C"/>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52">
    <w:nsid w:val="0C380549"/>
    <w:multiLevelType w:val="singleLevel"/>
    <w:tmpl w:val="0C380549"/>
    <w:lvl w:ilvl="0" w:tentative="0">
      <w:start w:val="1"/>
      <w:numFmt w:val="lowerLetter"/>
      <w:suff w:val="space"/>
      <w:lvlText w:val="%1）"/>
      <w:lvlJc w:val="left"/>
      <w:pPr>
        <w:tabs>
          <w:tab w:val="left" w:pos="0"/>
        </w:tabs>
        <w:ind w:left="420" w:leftChars="0" w:hanging="420" w:firstLineChars="0"/>
      </w:pPr>
      <w:rPr>
        <w:rFonts w:hint="default" w:ascii="宋体" w:hAnsi="宋体" w:eastAsia="宋体" w:cs="宋体"/>
      </w:rPr>
    </w:lvl>
  </w:abstractNum>
  <w:abstractNum w:abstractNumId="53">
    <w:nsid w:val="0C72CABE"/>
    <w:multiLevelType w:val="singleLevel"/>
    <w:tmpl w:val="0C72CABE"/>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54">
    <w:nsid w:val="118B2026"/>
    <w:multiLevelType w:val="singleLevel"/>
    <w:tmpl w:val="118B2026"/>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55">
    <w:nsid w:val="132CDD1D"/>
    <w:multiLevelType w:val="singleLevel"/>
    <w:tmpl w:val="132CDD1D"/>
    <w:lvl w:ilvl="0" w:tentative="0">
      <w:start w:val="1"/>
      <w:numFmt w:val="decimal"/>
      <w:suff w:val="space"/>
      <w:lvlText w:val="%1）"/>
      <w:lvlJc w:val="left"/>
      <w:pPr>
        <w:tabs>
          <w:tab w:val="left" w:pos="0"/>
        </w:tabs>
        <w:ind w:left="1260" w:leftChars="0" w:hanging="420" w:firstLineChars="0"/>
      </w:pPr>
      <w:rPr>
        <w:rFonts w:hint="default" w:ascii="宋体" w:hAnsi="宋体" w:eastAsia="宋体" w:cs="宋体"/>
      </w:rPr>
    </w:lvl>
  </w:abstractNum>
  <w:abstractNum w:abstractNumId="56">
    <w:nsid w:val="1335A796"/>
    <w:multiLevelType w:val="singleLevel"/>
    <w:tmpl w:val="1335A796"/>
    <w:lvl w:ilvl="0" w:tentative="0">
      <w:start w:val="1"/>
      <w:numFmt w:val="decimal"/>
      <w:suff w:val="space"/>
      <w:lvlText w:val="%1）"/>
      <w:lvlJc w:val="left"/>
      <w:pPr>
        <w:tabs>
          <w:tab w:val="left" w:pos="0"/>
        </w:tabs>
        <w:ind w:left="1259" w:leftChars="0" w:hanging="420" w:firstLineChars="0"/>
      </w:pPr>
      <w:rPr>
        <w:rFonts w:hint="default"/>
      </w:rPr>
    </w:lvl>
  </w:abstractNum>
  <w:abstractNum w:abstractNumId="57">
    <w:nsid w:val="147B58E8"/>
    <w:multiLevelType w:val="singleLevel"/>
    <w:tmpl w:val="147B58E8"/>
    <w:lvl w:ilvl="0" w:tentative="0">
      <w:start w:val="1"/>
      <w:numFmt w:val="decimal"/>
      <w:suff w:val="space"/>
      <w:lvlText w:val="%1）"/>
      <w:lvlJc w:val="left"/>
      <w:pPr>
        <w:tabs>
          <w:tab w:val="left" w:pos="0"/>
        </w:tabs>
        <w:ind w:left="1259" w:leftChars="0" w:hanging="420" w:firstLineChars="0"/>
      </w:pPr>
      <w:rPr>
        <w:rFonts w:hint="default"/>
      </w:rPr>
    </w:lvl>
  </w:abstractNum>
  <w:abstractNum w:abstractNumId="58">
    <w:nsid w:val="16139FCD"/>
    <w:multiLevelType w:val="singleLevel"/>
    <w:tmpl w:val="16139FCD"/>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59">
    <w:nsid w:val="17986764"/>
    <w:multiLevelType w:val="singleLevel"/>
    <w:tmpl w:val="17986764"/>
    <w:lvl w:ilvl="0" w:tentative="0">
      <w:start w:val="1"/>
      <w:numFmt w:val="decimal"/>
      <w:suff w:val="space"/>
      <w:lvlText w:val="%1）"/>
      <w:lvlJc w:val="left"/>
      <w:pPr>
        <w:tabs>
          <w:tab w:val="left" w:pos="0"/>
        </w:tabs>
        <w:ind w:left="1259" w:leftChars="0" w:hanging="420" w:firstLineChars="0"/>
      </w:pPr>
      <w:rPr>
        <w:rFonts w:hint="default"/>
      </w:rPr>
    </w:lvl>
  </w:abstractNum>
  <w:abstractNum w:abstractNumId="60">
    <w:nsid w:val="1B0DC3E7"/>
    <w:multiLevelType w:val="singleLevel"/>
    <w:tmpl w:val="1B0DC3E7"/>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61">
    <w:nsid w:val="1E17F99C"/>
    <w:multiLevelType w:val="singleLevel"/>
    <w:tmpl w:val="1E17F99C"/>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62">
    <w:nsid w:val="1E7EE387"/>
    <w:multiLevelType w:val="singleLevel"/>
    <w:tmpl w:val="1E7EE387"/>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63">
    <w:nsid w:val="1F9007C1"/>
    <w:multiLevelType w:val="singleLevel"/>
    <w:tmpl w:val="1F9007C1"/>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64">
    <w:nsid w:val="209FBCF9"/>
    <w:multiLevelType w:val="singleLevel"/>
    <w:tmpl w:val="209FBCF9"/>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65">
    <w:nsid w:val="249B8AC4"/>
    <w:multiLevelType w:val="singleLevel"/>
    <w:tmpl w:val="249B8AC4"/>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66">
    <w:nsid w:val="284601E1"/>
    <w:multiLevelType w:val="singleLevel"/>
    <w:tmpl w:val="284601E1"/>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67">
    <w:nsid w:val="2B3B045D"/>
    <w:multiLevelType w:val="singleLevel"/>
    <w:tmpl w:val="2B3B045D"/>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68">
    <w:nsid w:val="2C5917C3"/>
    <w:multiLevelType w:val="multilevel"/>
    <w:tmpl w:val="2C5917C3"/>
    <w:lvl w:ilvl="0" w:tentative="0">
      <w:start w:val="1"/>
      <w:numFmt w:val="none"/>
      <w:suff w:val="nothing"/>
      <w:lvlText w:val="%1——"/>
      <w:lvlJc w:val="left"/>
      <w:pPr>
        <w:ind w:left="833" w:hanging="408"/>
      </w:pPr>
      <w:rPr>
        <w:rFonts w:hint="eastAsia"/>
      </w:rPr>
    </w:lvl>
    <w:lvl w:ilvl="1" w:tentative="0">
      <w:start w:val="1"/>
      <w:numFmt w:val="bullet"/>
      <w:pStyle w:val="59"/>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9">
    <w:nsid w:val="3BAECD54"/>
    <w:multiLevelType w:val="singleLevel"/>
    <w:tmpl w:val="3BAECD54"/>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70">
    <w:nsid w:val="3F287B4B"/>
    <w:multiLevelType w:val="singleLevel"/>
    <w:tmpl w:val="3F287B4B"/>
    <w:lvl w:ilvl="0" w:tentative="0">
      <w:start w:val="1"/>
      <w:numFmt w:val="decimal"/>
      <w:suff w:val="space"/>
      <w:lvlText w:val="%1）"/>
      <w:lvlJc w:val="left"/>
      <w:pPr>
        <w:tabs>
          <w:tab w:val="left" w:pos="0"/>
        </w:tabs>
        <w:ind w:left="1259" w:leftChars="0" w:hanging="420" w:firstLineChars="0"/>
      </w:pPr>
      <w:rPr>
        <w:rFonts w:hint="default"/>
      </w:rPr>
    </w:lvl>
  </w:abstractNum>
  <w:abstractNum w:abstractNumId="71">
    <w:nsid w:val="443350CF"/>
    <w:multiLevelType w:val="singleLevel"/>
    <w:tmpl w:val="443350CF"/>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72">
    <w:nsid w:val="46B635F5"/>
    <w:multiLevelType w:val="singleLevel"/>
    <w:tmpl w:val="46B635F5"/>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73">
    <w:nsid w:val="4A5E4F65"/>
    <w:multiLevelType w:val="singleLevel"/>
    <w:tmpl w:val="4A5E4F65"/>
    <w:lvl w:ilvl="0" w:tentative="0">
      <w:start w:val="1"/>
      <w:numFmt w:val="decimal"/>
      <w:suff w:val="space"/>
      <w:lvlText w:val="%1）"/>
      <w:lvlJc w:val="left"/>
      <w:pPr>
        <w:tabs>
          <w:tab w:val="left" w:pos="0"/>
        </w:tabs>
        <w:ind w:left="1260" w:leftChars="0" w:hanging="420" w:firstLineChars="0"/>
      </w:pPr>
      <w:rPr>
        <w:rFonts w:hint="default" w:ascii="宋体" w:hAnsi="宋体" w:eastAsia="宋体" w:cs="宋体"/>
      </w:rPr>
    </w:lvl>
  </w:abstractNum>
  <w:abstractNum w:abstractNumId="74">
    <w:nsid w:val="4B95902F"/>
    <w:multiLevelType w:val="singleLevel"/>
    <w:tmpl w:val="4B95902F"/>
    <w:lvl w:ilvl="0" w:tentative="0">
      <w:start w:val="1"/>
      <w:numFmt w:val="decimal"/>
      <w:suff w:val="space"/>
      <w:lvlText w:val="%1）"/>
      <w:lvlJc w:val="left"/>
      <w:pPr>
        <w:tabs>
          <w:tab w:val="left" w:pos="0"/>
        </w:tabs>
        <w:ind w:left="1259" w:leftChars="0" w:hanging="420" w:firstLineChars="0"/>
      </w:pPr>
      <w:rPr>
        <w:rFonts w:hint="default"/>
      </w:rPr>
    </w:lvl>
  </w:abstractNum>
  <w:abstractNum w:abstractNumId="75">
    <w:nsid w:val="4D1670F8"/>
    <w:multiLevelType w:val="singleLevel"/>
    <w:tmpl w:val="4D1670F8"/>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76">
    <w:nsid w:val="4F2EEEB4"/>
    <w:multiLevelType w:val="singleLevel"/>
    <w:tmpl w:val="4F2EEEB4"/>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77">
    <w:nsid w:val="54C5F330"/>
    <w:multiLevelType w:val="singleLevel"/>
    <w:tmpl w:val="54C5F330"/>
    <w:lvl w:ilvl="0" w:tentative="0">
      <w:start w:val="1"/>
      <w:numFmt w:val="decimal"/>
      <w:pStyle w:val="67"/>
      <w:suff w:val="nothing"/>
      <w:lvlText w:val="表%1  "/>
      <w:lvlJc w:val="left"/>
      <w:pPr>
        <w:tabs>
          <w:tab w:val="left" w:pos="0"/>
        </w:tabs>
        <w:ind w:left="0" w:leftChars="0" w:firstLine="0" w:firstLineChars="0"/>
      </w:pPr>
      <w:rPr>
        <w:rFonts w:hint="default" w:ascii="黑体" w:hAnsi="黑体" w:eastAsia="黑体" w:cs="黑体"/>
        <w:sz w:val="21"/>
        <w:szCs w:val="21"/>
      </w:rPr>
    </w:lvl>
  </w:abstractNum>
  <w:abstractNum w:abstractNumId="78">
    <w:nsid w:val="55D58943"/>
    <w:multiLevelType w:val="singleLevel"/>
    <w:tmpl w:val="55D58943"/>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79">
    <w:nsid w:val="57B50FDF"/>
    <w:multiLevelType w:val="singleLevel"/>
    <w:tmpl w:val="57B50FDF"/>
    <w:lvl w:ilvl="0" w:tentative="0">
      <w:start w:val="1"/>
      <w:numFmt w:val="decimal"/>
      <w:suff w:val="space"/>
      <w:lvlText w:val="%1）"/>
      <w:lvlJc w:val="left"/>
      <w:pPr>
        <w:tabs>
          <w:tab w:val="left" w:pos="0"/>
        </w:tabs>
        <w:ind w:left="1259" w:leftChars="0" w:hanging="420" w:firstLineChars="0"/>
      </w:pPr>
      <w:rPr>
        <w:rFonts w:hint="default"/>
      </w:rPr>
    </w:lvl>
  </w:abstractNum>
  <w:abstractNum w:abstractNumId="80">
    <w:nsid w:val="5CAE72E1"/>
    <w:multiLevelType w:val="singleLevel"/>
    <w:tmpl w:val="5CAE72E1"/>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81">
    <w:nsid w:val="5D6E244F"/>
    <w:multiLevelType w:val="singleLevel"/>
    <w:tmpl w:val="5D6E244F"/>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82">
    <w:nsid w:val="61F72872"/>
    <w:multiLevelType w:val="singleLevel"/>
    <w:tmpl w:val="61F72872"/>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83">
    <w:nsid w:val="6278D62F"/>
    <w:multiLevelType w:val="singleLevel"/>
    <w:tmpl w:val="6278D62F"/>
    <w:lvl w:ilvl="0" w:tentative="0">
      <w:start w:val="1"/>
      <w:numFmt w:val="decimal"/>
      <w:suff w:val="nothing"/>
      <w:lvlText w:val="[%1]　"/>
      <w:lvlJc w:val="left"/>
    </w:lvl>
  </w:abstractNum>
  <w:abstractNum w:abstractNumId="84">
    <w:nsid w:val="627F8C84"/>
    <w:multiLevelType w:val="singleLevel"/>
    <w:tmpl w:val="627F8C84"/>
    <w:lvl w:ilvl="0" w:tentative="0">
      <w:start w:val="1"/>
      <w:numFmt w:val="decimal"/>
      <w:suff w:val="space"/>
      <w:lvlText w:val="%1）"/>
      <w:lvlJc w:val="left"/>
      <w:pPr>
        <w:tabs>
          <w:tab w:val="left" w:pos="0"/>
        </w:tabs>
        <w:ind w:left="1259" w:leftChars="0" w:hanging="420" w:firstLineChars="0"/>
      </w:pPr>
      <w:rPr>
        <w:rFonts w:hint="default"/>
      </w:rPr>
    </w:lvl>
  </w:abstractNum>
  <w:abstractNum w:abstractNumId="85">
    <w:nsid w:val="6588CAAF"/>
    <w:multiLevelType w:val="singleLevel"/>
    <w:tmpl w:val="6588CAAF"/>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86">
    <w:nsid w:val="66115219"/>
    <w:multiLevelType w:val="singleLevel"/>
    <w:tmpl w:val="66115219"/>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87">
    <w:nsid w:val="6674349D"/>
    <w:multiLevelType w:val="singleLevel"/>
    <w:tmpl w:val="6674349D"/>
    <w:lvl w:ilvl="0" w:tentative="0">
      <w:start w:val="1"/>
      <w:numFmt w:val="decimal"/>
      <w:suff w:val="space"/>
      <w:lvlText w:val="%1）"/>
      <w:lvlJc w:val="left"/>
      <w:pPr>
        <w:tabs>
          <w:tab w:val="left" w:pos="0"/>
        </w:tabs>
        <w:ind w:left="1260" w:leftChars="0" w:hanging="420" w:firstLineChars="0"/>
      </w:pPr>
      <w:rPr>
        <w:rFonts w:hint="default" w:ascii="宋体" w:hAnsi="宋体" w:eastAsia="宋体" w:cs="宋体"/>
      </w:rPr>
    </w:lvl>
  </w:abstractNum>
  <w:abstractNum w:abstractNumId="88">
    <w:nsid w:val="6A758171"/>
    <w:multiLevelType w:val="singleLevel"/>
    <w:tmpl w:val="6A758171"/>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89">
    <w:nsid w:val="6BBDDAE6"/>
    <w:multiLevelType w:val="singleLevel"/>
    <w:tmpl w:val="6BBDDAE6"/>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90">
    <w:nsid w:val="749B4252"/>
    <w:multiLevelType w:val="singleLevel"/>
    <w:tmpl w:val="749B4252"/>
    <w:lvl w:ilvl="0" w:tentative="0">
      <w:start w:val="1"/>
      <w:numFmt w:val="decimal"/>
      <w:suff w:val="space"/>
      <w:lvlText w:val="%1）"/>
      <w:lvlJc w:val="left"/>
      <w:pPr>
        <w:tabs>
          <w:tab w:val="left" w:pos="0"/>
        </w:tabs>
        <w:ind w:left="1259" w:leftChars="0" w:hanging="420" w:firstLineChars="0"/>
      </w:pPr>
      <w:rPr>
        <w:rFonts w:hint="default"/>
      </w:rPr>
    </w:lvl>
  </w:abstractNum>
  <w:abstractNum w:abstractNumId="91">
    <w:nsid w:val="76FCF89D"/>
    <w:multiLevelType w:val="multilevel"/>
    <w:tmpl w:val="76FCF89D"/>
    <w:lvl w:ilvl="0" w:tentative="0">
      <w:start w:val="1"/>
      <w:numFmt w:val="decimal"/>
      <w:pStyle w:val="5"/>
      <w:lvlText w:val="A.%1"/>
      <w:lvlJc w:val="left"/>
      <w:pPr>
        <w:ind w:left="840" w:hanging="420"/>
      </w:pPr>
      <w:rPr>
        <w:rFonts w:hint="default" w:ascii="黑体" w:hAnsi="黑体" w:eastAsia="黑体" w:cs="黑体"/>
        <w:sz w:val="21"/>
        <w:szCs w:val="21"/>
      </w:rPr>
    </w:lvl>
    <w:lvl w:ilvl="1" w:tentative="0">
      <w:start w:val="1"/>
      <w:numFmt w:val="decimal"/>
      <w:pStyle w:val="6"/>
      <w:lvlText w:val="A.%1.%2"/>
      <w:lvlJc w:val="left"/>
      <w:pPr>
        <w:ind w:left="1260" w:hanging="420"/>
      </w:pPr>
      <w:rPr>
        <w:rFonts w:hint="default" w:ascii="黑体" w:hAnsi="黑体" w:eastAsia="黑体" w:cs="黑体"/>
        <w:sz w:val="21"/>
        <w:szCs w:val="21"/>
      </w:rPr>
    </w:lvl>
    <w:lvl w:ilvl="2" w:tentative="0">
      <w:start w:val="1"/>
      <w:numFmt w:val="decimal"/>
      <w:pStyle w:val="7"/>
      <w:lvlText w:val="A.%1.%2.%3"/>
      <w:lvlJc w:val="left"/>
      <w:pPr>
        <w:ind w:left="1680" w:hanging="1680"/>
      </w:pPr>
      <w:rPr>
        <w:rFonts w:hint="default" w:ascii="宋体" w:hAnsi="宋体" w:eastAsia="宋体" w:cs="宋体"/>
      </w:rPr>
    </w:lvl>
    <w:lvl w:ilvl="3" w:tentative="0">
      <w:start w:val="1"/>
      <w:numFmt w:val="decimal"/>
      <w:lvlText w:val="%4."/>
      <w:lvlJc w:val="left"/>
      <w:pPr>
        <w:ind w:left="2100" w:hanging="420"/>
      </w:pPr>
      <w:rPr>
        <w:rFonts w:hint="default" w:ascii="宋体" w:hAnsi="宋体" w:eastAsia="宋体" w:cs="宋体"/>
      </w:rPr>
    </w:lvl>
    <w:lvl w:ilvl="4" w:tentative="0">
      <w:start w:val="1"/>
      <w:numFmt w:val="lowerLetter"/>
      <w:lvlText w:val="%5)"/>
      <w:lvlJc w:val="left"/>
      <w:pPr>
        <w:ind w:left="2520" w:hanging="420"/>
      </w:pPr>
      <w:rPr>
        <w:rFonts w:hint="default" w:ascii="宋体" w:hAnsi="宋体" w:eastAsia="宋体" w:cs="宋体"/>
      </w:r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2">
    <w:nsid w:val="77D0C0EC"/>
    <w:multiLevelType w:val="singleLevel"/>
    <w:tmpl w:val="77D0C0EC"/>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93">
    <w:nsid w:val="792AFD87"/>
    <w:multiLevelType w:val="singleLevel"/>
    <w:tmpl w:val="792AFD87"/>
    <w:lvl w:ilvl="0" w:tentative="0">
      <w:start w:val="1"/>
      <w:numFmt w:val="decimal"/>
      <w:pStyle w:val="69"/>
      <w:suff w:val="nothing"/>
      <w:lvlText w:val="图%1  "/>
      <w:lvlJc w:val="left"/>
      <w:pPr>
        <w:tabs>
          <w:tab w:val="left" w:pos="0"/>
        </w:tabs>
        <w:ind w:left="0" w:firstLine="397"/>
      </w:pPr>
      <w:rPr>
        <w:rFonts w:hint="default"/>
      </w:rPr>
    </w:lvl>
  </w:abstractNum>
  <w:abstractNum w:abstractNumId="94">
    <w:nsid w:val="79B47C9B"/>
    <w:multiLevelType w:val="singleLevel"/>
    <w:tmpl w:val="79B47C9B"/>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95">
    <w:nsid w:val="7B2CC5DD"/>
    <w:multiLevelType w:val="singleLevel"/>
    <w:tmpl w:val="7B2CC5DD"/>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abstractNum w:abstractNumId="96">
    <w:nsid w:val="7E01083C"/>
    <w:multiLevelType w:val="singleLevel"/>
    <w:tmpl w:val="7E01083C"/>
    <w:lvl w:ilvl="0" w:tentative="0">
      <w:start w:val="1"/>
      <w:numFmt w:val="lowerLetter"/>
      <w:suff w:val="space"/>
      <w:lvlText w:val="%1）"/>
      <w:lvlJc w:val="left"/>
      <w:pPr>
        <w:tabs>
          <w:tab w:val="left" w:pos="0"/>
        </w:tabs>
        <w:ind w:left="840" w:leftChars="0" w:hanging="420" w:firstLineChars="0"/>
      </w:pPr>
      <w:rPr>
        <w:rFonts w:hint="default" w:ascii="宋体" w:hAnsi="宋体" w:eastAsia="宋体" w:cs="宋体"/>
      </w:rPr>
    </w:lvl>
  </w:abstractNum>
  <w:num w:numId="1">
    <w:abstractNumId w:val="30"/>
  </w:num>
  <w:num w:numId="2">
    <w:abstractNumId w:val="91"/>
  </w:num>
  <w:num w:numId="3">
    <w:abstractNumId w:val="2"/>
  </w:num>
  <w:num w:numId="4">
    <w:abstractNumId w:val="49"/>
  </w:num>
  <w:num w:numId="5">
    <w:abstractNumId w:val="38"/>
  </w:num>
  <w:num w:numId="6">
    <w:abstractNumId w:val="68"/>
  </w:num>
  <w:num w:numId="7">
    <w:abstractNumId w:val="5"/>
  </w:num>
  <w:num w:numId="8">
    <w:abstractNumId w:val="77"/>
  </w:num>
  <w:num w:numId="9">
    <w:abstractNumId w:val="93"/>
  </w:num>
  <w:num w:numId="10">
    <w:abstractNumId w:val="47"/>
  </w:num>
  <w:num w:numId="11">
    <w:abstractNumId w:val="76"/>
  </w:num>
  <w:num w:numId="12">
    <w:abstractNumId w:val="95"/>
  </w:num>
  <w:num w:numId="13">
    <w:abstractNumId w:val="55"/>
  </w:num>
  <w:num w:numId="14">
    <w:abstractNumId w:val="73"/>
  </w:num>
  <w:num w:numId="15">
    <w:abstractNumId w:val="87"/>
  </w:num>
  <w:num w:numId="16">
    <w:abstractNumId w:val="63"/>
  </w:num>
  <w:num w:numId="17">
    <w:abstractNumId w:val="35"/>
  </w:num>
  <w:num w:numId="18">
    <w:abstractNumId w:val="90"/>
  </w:num>
  <w:num w:numId="19">
    <w:abstractNumId w:val="56"/>
  </w:num>
  <w:num w:numId="20">
    <w:abstractNumId w:val="46"/>
  </w:num>
  <w:num w:numId="21">
    <w:abstractNumId w:val="70"/>
  </w:num>
  <w:num w:numId="22">
    <w:abstractNumId w:val="80"/>
  </w:num>
  <w:num w:numId="23">
    <w:abstractNumId w:val="0"/>
  </w:num>
  <w:num w:numId="24">
    <w:abstractNumId w:val="57"/>
  </w:num>
  <w:num w:numId="25">
    <w:abstractNumId w:val="25"/>
  </w:num>
  <w:num w:numId="26">
    <w:abstractNumId w:val="62"/>
  </w:num>
  <w:num w:numId="27">
    <w:abstractNumId w:val="92"/>
  </w:num>
  <w:num w:numId="28">
    <w:abstractNumId w:val="16"/>
  </w:num>
  <w:num w:numId="29">
    <w:abstractNumId w:val="10"/>
  </w:num>
  <w:num w:numId="30">
    <w:abstractNumId w:val="27"/>
  </w:num>
  <w:num w:numId="31">
    <w:abstractNumId w:val="42"/>
  </w:num>
  <w:num w:numId="32">
    <w:abstractNumId w:val="84"/>
  </w:num>
  <w:num w:numId="33">
    <w:abstractNumId w:val="64"/>
  </w:num>
  <w:num w:numId="34">
    <w:abstractNumId w:val="78"/>
  </w:num>
  <w:num w:numId="35">
    <w:abstractNumId w:val="28"/>
  </w:num>
  <w:num w:numId="36">
    <w:abstractNumId w:val="51"/>
  </w:num>
  <w:num w:numId="37">
    <w:abstractNumId w:val="67"/>
  </w:num>
  <w:num w:numId="38">
    <w:abstractNumId w:val="21"/>
  </w:num>
  <w:num w:numId="39">
    <w:abstractNumId w:val="79"/>
  </w:num>
  <w:num w:numId="40">
    <w:abstractNumId w:val="33"/>
  </w:num>
  <w:num w:numId="41">
    <w:abstractNumId w:val="13"/>
  </w:num>
  <w:num w:numId="42">
    <w:abstractNumId w:val="36"/>
  </w:num>
  <w:num w:numId="43">
    <w:abstractNumId w:val="3"/>
  </w:num>
  <w:num w:numId="44">
    <w:abstractNumId w:val="31"/>
  </w:num>
  <w:num w:numId="45">
    <w:abstractNumId w:val="24"/>
  </w:num>
  <w:num w:numId="46">
    <w:abstractNumId w:val="23"/>
  </w:num>
  <w:num w:numId="47">
    <w:abstractNumId w:val="41"/>
  </w:num>
  <w:num w:numId="48">
    <w:abstractNumId w:val="54"/>
  </w:num>
  <w:num w:numId="49">
    <w:abstractNumId w:val="11"/>
  </w:num>
  <w:num w:numId="50">
    <w:abstractNumId w:val="40"/>
  </w:num>
  <w:num w:numId="51">
    <w:abstractNumId w:val="65"/>
  </w:num>
  <w:num w:numId="52">
    <w:abstractNumId w:val="85"/>
  </w:num>
  <w:num w:numId="53">
    <w:abstractNumId w:val="1"/>
  </w:num>
  <w:num w:numId="54">
    <w:abstractNumId w:val="44"/>
  </w:num>
  <w:num w:numId="55">
    <w:abstractNumId w:val="52"/>
  </w:num>
  <w:num w:numId="56">
    <w:abstractNumId w:val="72"/>
  </w:num>
  <w:num w:numId="57">
    <w:abstractNumId w:val="32"/>
  </w:num>
  <w:num w:numId="58">
    <w:abstractNumId w:val="59"/>
  </w:num>
  <w:num w:numId="59">
    <w:abstractNumId w:val="17"/>
  </w:num>
  <w:num w:numId="60">
    <w:abstractNumId w:val="43"/>
  </w:num>
  <w:num w:numId="61">
    <w:abstractNumId w:val="53"/>
  </w:num>
  <w:num w:numId="62">
    <w:abstractNumId w:val="45"/>
  </w:num>
  <w:num w:numId="63">
    <w:abstractNumId w:val="86"/>
  </w:num>
  <w:num w:numId="64">
    <w:abstractNumId w:val="26"/>
  </w:num>
  <w:num w:numId="65">
    <w:abstractNumId w:val="89"/>
  </w:num>
  <w:num w:numId="66">
    <w:abstractNumId w:val="94"/>
  </w:num>
  <w:num w:numId="67">
    <w:abstractNumId w:val="75"/>
  </w:num>
  <w:num w:numId="68">
    <w:abstractNumId w:val="8"/>
  </w:num>
  <w:num w:numId="69">
    <w:abstractNumId w:val="81"/>
  </w:num>
  <w:num w:numId="70">
    <w:abstractNumId w:val="88"/>
  </w:num>
  <w:num w:numId="71">
    <w:abstractNumId w:val="6"/>
  </w:num>
  <w:num w:numId="72">
    <w:abstractNumId w:val="19"/>
  </w:num>
  <w:num w:numId="73">
    <w:abstractNumId w:val="39"/>
  </w:num>
  <w:num w:numId="74">
    <w:abstractNumId w:val="48"/>
  </w:num>
  <w:num w:numId="75">
    <w:abstractNumId w:val="34"/>
  </w:num>
  <w:num w:numId="76">
    <w:abstractNumId w:val="69"/>
  </w:num>
  <w:num w:numId="77">
    <w:abstractNumId w:val="60"/>
  </w:num>
  <w:num w:numId="78">
    <w:abstractNumId w:val="50"/>
  </w:num>
  <w:num w:numId="79">
    <w:abstractNumId w:val="14"/>
  </w:num>
  <w:num w:numId="80">
    <w:abstractNumId w:val="71"/>
  </w:num>
  <w:num w:numId="81">
    <w:abstractNumId w:val="37"/>
  </w:num>
  <w:num w:numId="82">
    <w:abstractNumId w:val="22"/>
  </w:num>
  <w:num w:numId="83">
    <w:abstractNumId w:val="9"/>
  </w:num>
  <w:num w:numId="84">
    <w:abstractNumId w:val="18"/>
  </w:num>
  <w:num w:numId="85">
    <w:abstractNumId w:val="4"/>
  </w:num>
  <w:num w:numId="86">
    <w:abstractNumId w:val="12"/>
  </w:num>
  <w:num w:numId="87">
    <w:abstractNumId w:val="82"/>
  </w:num>
  <w:num w:numId="88">
    <w:abstractNumId w:val="20"/>
  </w:num>
  <w:num w:numId="89">
    <w:abstractNumId w:val="29"/>
  </w:num>
  <w:num w:numId="90">
    <w:abstractNumId w:val="7"/>
  </w:num>
  <w:num w:numId="91">
    <w:abstractNumId w:val="74"/>
  </w:num>
  <w:num w:numId="92">
    <w:abstractNumId w:val="96"/>
  </w:num>
  <w:num w:numId="93">
    <w:abstractNumId w:val="66"/>
  </w:num>
  <w:num w:numId="94">
    <w:abstractNumId w:val="61"/>
  </w:num>
  <w:num w:numId="95">
    <w:abstractNumId w:val="15"/>
  </w:num>
  <w:num w:numId="96">
    <w:abstractNumId w:val="58"/>
  </w:num>
  <w:num w:numId="97">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mU2YTI0NDY2ZTBmZGRmNjFiYzg1Y2E3NTRhYWQifQ=="/>
  </w:docVars>
  <w:rsids>
    <w:rsidRoot w:val="404E6F69"/>
    <w:rsid w:val="003E266D"/>
    <w:rsid w:val="0044018C"/>
    <w:rsid w:val="00470BB6"/>
    <w:rsid w:val="005317E5"/>
    <w:rsid w:val="00535A7B"/>
    <w:rsid w:val="00850CB6"/>
    <w:rsid w:val="00DE6157"/>
    <w:rsid w:val="014E68E4"/>
    <w:rsid w:val="01AE15BA"/>
    <w:rsid w:val="02493090"/>
    <w:rsid w:val="025832D3"/>
    <w:rsid w:val="025F43A9"/>
    <w:rsid w:val="02691BB2"/>
    <w:rsid w:val="02785724"/>
    <w:rsid w:val="02B07151"/>
    <w:rsid w:val="02C75BEA"/>
    <w:rsid w:val="02FE20CD"/>
    <w:rsid w:val="030C0CEA"/>
    <w:rsid w:val="03445196"/>
    <w:rsid w:val="038A3684"/>
    <w:rsid w:val="039B5323"/>
    <w:rsid w:val="03DF2754"/>
    <w:rsid w:val="0405374B"/>
    <w:rsid w:val="04504BAA"/>
    <w:rsid w:val="04896B30"/>
    <w:rsid w:val="04A96A57"/>
    <w:rsid w:val="04E2157A"/>
    <w:rsid w:val="04FC1F10"/>
    <w:rsid w:val="059B60BA"/>
    <w:rsid w:val="05A01219"/>
    <w:rsid w:val="06345E06"/>
    <w:rsid w:val="06361B7E"/>
    <w:rsid w:val="06490512"/>
    <w:rsid w:val="06630409"/>
    <w:rsid w:val="06990E6E"/>
    <w:rsid w:val="07140111"/>
    <w:rsid w:val="07177D99"/>
    <w:rsid w:val="07561A79"/>
    <w:rsid w:val="076157C5"/>
    <w:rsid w:val="07C36632"/>
    <w:rsid w:val="080919D2"/>
    <w:rsid w:val="081D1C66"/>
    <w:rsid w:val="08296328"/>
    <w:rsid w:val="08297779"/>
    <w:rsid w:val="08687FE8"/>
    <w:rsid w:val="089721D3"/>
    <w:rsid w:val="08B326B7"/>
    <w:rsid w:val="08C17D7A"/>
    <w:rsid w:val="08E130D3"/>
    <w:rsid w:val="08E179F2"/>
    <w:rsid w:val="08EC2F2C"/>
    <w:rsid w:val="0906641C"/>
    <w:rsid w:val="0959577E"/>
    <w:rsid w:val="09A81FC0"/>
    <w:rsid w:val="09F47D86"/>
    <w:rsid w:val="0A010EE6"/>
    <w:rsid w:val="0A0C33B8"/>
    <w:rsid w:val="0A246527"/>
    <w:rsid w:val="0A363B66"/>
    <w:rsid w:val="0AA23C91"/>
    <w:rsid w:val="0AC560D2"/>
    <w:rsid w:val="0B3643CE"/>
    <w:rsid w:val="0B7309F8"/>
    <w:rsid w:val="0B961805"/>
    <w:rsid w:val="0C1024E9"/>
    <w:rsid w:val="0C177D5B"/>
    <w:rsid w:val="0C441CBC"/>
    <w:rsid w:val="0C557D75"/>
    <w:rsid w:val="0C6372A3"/>
    <w:rsid w:val="0C8F3D96"/>
    <w:rsid w:val="0DBD7E75"/>
    <w:rsid w:val="0DC5500D"/>
    <w:rsid w:val="0DE66D83"/>
    <w:rsid w:val="0DF144BD"/>
    <w:rsid w:val="0DF73327"/>
    <w:rsid w:val="0E0517C0"/>
    <w:rsid w:val="0E354531"/>
    <w:rsid w:val="0E364A4E"/>
    <w:rsid w:val="0E3B0F70"/>
    <w:rsid w:val="0E4A42A9"/>
    <w:rsid w:val="0E614AD3"/>
    <w:rsid w:val="0E7B516C"/>
    <w:rsid w:val="0E894308"/>
    <w:rsid w:val="0E9E6834"/>
    <w:rsid w:val="0EB41212"/>
    <w:rsid w:val="0EF409BB"/>
    <w:rsid w:val="0EFE651B"/>
    <w:rsid w:val="0F007CF6"/>
    <w:rsid w:val="0FA120D4"/>
    <w:rsid w:val="0FA3298F"/>
    <w:rsid w:val="0FFD51ED"/>
    <w:rsid w:val="0FFE7880"/>
    <w:rsid w:val="10560797"/>
    <w:rsid w:val="10620D30"/>
    <w:rsid w:val="107422F1"/>
    <w:rsid w:val="10A07DEF"/>
    <w:rsid w:val="10C258EC"/>
    <w:rsid w:val="10D95F27"/>
    <w:rsid w:val="11664F94"/>
    <w:rsid w:val="116E055D"/>
    <w:rsid w:val="11DB68A2"/>
    <w:rsid w:val="124E3234"/>
    <w:rsid w:val="125C4F2B"/>
    <w:rsid w:val="13295D69"/>
    <w:rsid w:val="13510B1A"/>
    <w:rsid w:val="13606261"/>
    <w:rsid w:val="13644981"/>
    <w:rsid w:val="13692BEA"/>
    <w:rsid w:val="139A3A38"/>
    <w:rsid w:val="14253E5E"/>
    <w:rsid w:val="14581659"/>
    <w:rsid w:val="14891D16"/>
    <w:rsid w:val="14F8706C"/>
    <w:rsid w:val="15240715"/>
    <w:rsid w:val="15556BA5"/>
    <w:rsid w:val="159B0C17"/>
    <w:rsid w:val="15E67914"/>
    <w:rsid w:val="162A208D"/>
    <w:rsid w:val="16403F4B"/>
    <w:rsid w:val="165E6292"/>
    <w:rsid w:val="16662EA9"/>
    <w:rsid w:val="16BC7A76"/>
    <w:rsid w:val="16C568E8"/>
    <w:rsid w:val="16CE5289"/>
    <w:rsid w:val="17054808"/>
    <w:rsid w:val="173D6B6A"/>
    <w:rsid w:val="17651DD1"/>
    <w:rsid w:val="17777B56"/>
    <w:rsid w:val="17C70888"/>
    <w:rsid w:val="17E97C60"/>
    <w:rsid w:val="18744112"/>
    <w:rsid w:val="189815CA"/>
    <w:rsid w:val="18DB710D"/>
    <w:rsid w:val="18E86EF5"/>
    <w:rsid w:val="19AC776C"/>
    <w:rsid w:val="19F470C4"/>
    <w:rsid w:val="19FE0DCB"/>
    <w:rsid w:val="1A106845"/>
    <w:rsid w:val="1A3306DB"/>
    <w:rsid w:val="1ACC6A6A"/>
    <w:rsid w:val="1AE47FF0"/>
    <w:rsid w:val="1C661C8D"/>
    <w:rsid w:val="1C6B03A4"/>
    <w:rsid w:val="1CA9016E"/>
    <w:rsid w:val="1D1C43BA"/>
    <w:rsid w:val="1D3449C0"/>
    <w:rsid w:val="1D6309EC"/>
    <w:rsid w:val="1D892D2B"/>
    <w:rsid w:val="1DA916B0"/>
    <w:rsid w:val="1DB9336C"/>
    <w:rsid w:val="1DBF0A7F"/>
    <w:rsid w:val="1DF40DDB"/>
    <w:rsid w:val="1E080372"/>
    <w:rsid w:val="1E2A64FC"/>
    <w:rsid w:val="1E5B3377"/>
    <w:rsid w:val="1EA84A76"/>
    <w:rsid w:val="1F0C3504"/>
    <w:rsid w:val="1F1D764C"/>
    <w:rsid w:val="1F34391F"/>
    <w:rsid w:val="1F3719AE"/>
    <w:rsid w:val="1F575200"/>
    <w:rsid w:val="1F6F32C2"/>
    <w:rsid w:val="1FAF5241"/>
    <w:rsid w:val="1FC6308B"/>
    <w:rsid w:val="200D7DDB"/>
    <w:rsid w:val="20262069"/>
    <w:rsid w:val="209E3D18"/>
    <w:rsid w:val="20BC68D1"/>
    <w:rsid w:val="218407CF"/>
    <w:rsid w:val="21C1459A"/>
    <w:rsid w:val="21E15ABE"/>
    <w:rsid w:val="21E32FAC"/>
    <w:rsid w:val="222E3E55"/>
    <w:rsid w:val="223937C1"/>
    <w:rsid w:val="22C01174"/>
    <w:rsid w:val="2332642D"/>
    <w:rsid w:val="233E509E"/>
    <w:rsid w:val="235D2056"/>
    <w:rsid w:val="23BE3AA9"/>
    <w:rsid w:val="244D7949"/>
    <w:rsid w:val="24501B65"/>
    <w:rsid w:val="24714479"/>
    <w:rsid w:val="249C0229"/>
    <w:rsid w:val="251A6C57"/>
    <w:rsid w:val="258238E3"/>
    <w:rsid w:val="261606F9"/>
    <w:rsid w:val="26646D63"/>
    <w:rsid w:val="267C3F38"/>
    <w:rsid w:val="268B6B10"/>
    <w:rsid w:val="26B6298C"/>
    <w:rsid w:val="272F78E9"/>
    <w:rsid w:val="273A54B1"/>
    <w:rsid w:val="276F17C3"/>
    <w:rsid w:val="278B4387"/>
    <w:rsid w:val="27A320DF"/>
    <w:rsid w:val="27FD5B5E"/>
    <w:rsid w:val="2803202C"/>
    <w:rsid w:val="28B96268"/>
    <w:rsid w:val="28BB5E50"/>
    <w:rsid w:val="29192F0D"/>
    <w:rsid w:val="29316CB6"/>
    <w:rsid w:val="2A571F3F"/>
    <w:rsid w:val="2A690CFE"/>
    <w:rsid w:val="2A9C30E9"/>
    <w:rsid w:val="2B290B1B"/>
    <w:rsid w:val="2B583B49"/>
    <w:rsid w:val="2B626718"/>
    <w:rsid w:val="2B6564B9"/>
    <w:rsid w:val="2B742E62"/>
    <w:rsid w:val="2B801612"/>
    <w:rsid w:val="2BB1398B"/>
    <w:rsid w:val="2BCC1197"/>
    <w:rsid w:val="2BE66275"/>
    <w:rsid w:val="2C372028"/>
    <w:rsid w:val="2C412F87"/>
    <w:rsid w:val="2CCC5D31"/>
    <w:rsid w:val="2CF34F60"/>
    <w:rsid w:val="2DB179C3"/>
    <w:rsid w:val="2E1A659B"/>
    <w:rsid w:val="2EB6368E"/>
    <w:rsid w:val="2F300C4F"/>
    <w:rsid w:val="2F3D0681"/>
    <w:rsid w:val="2F44526B"/>
    <w:rsid w:val="2F7A543F"/>
    <w:rsid w:val="2F993948"/>
    <w:rsid w:val="2FC12411"/>
    <w:rsid w:val="2FF87A7C"/>
    <w:rsid w:val="300950A9"/>
    <w:rsid w:val="30135E40"/>
    <w:rsid w:val="303D5E28"/>
    <w:rsid w:val="305B477B"/>
    <w:rsid w:val="3069477A"/>
    <w:rsid w:val="30D77A21"/>
    <w:rsid w:val="311566B0"/>
    <w:rsid w:val="31292807"/>
    <w:rsid w:val="31C425C6"/>
    <w:rsid w:val="31C559E0"/>
    <w:rsid w:val="3224213E"/>
    <w:rsid w:val="324604F9"/>
    <w:rsid w:val="32672763"/>
    <w:rsid w:val="32C66126"/>
    <w:rsid w:val="332D55E8"/>
    <w:rsid w:val="33647124"/>
    <w:rsid w:val="33704071"/>
    <w:rsid w:val="339E379E"/>
    <w:rsid w:val="33C00BEE"/>
    <w:rsid w:val="34052258"/>
    <w:rsid w:val="341E4BA1"/>
    <w:rsid w:val="342E6D96"/>
    <w:rsid w:val="34740D50"/>
    <w:rsid w:val="34943D90"/>
    <w:rsid w:val="34C562F5"/>
    <w:rsid w:val="3507563C"/>
    <w:rsid w:val="355638EF"/>
    <w:rsid w:val="35E02C1A"/>
    <w:rsid w:val="3615229B"/>
    <w:rsid w:val="361A6D0F"/>
    <w:rsid w:val="361F7338"/>
    <w:rsid w:val="3624024C"/>
    <w:rsid w:val="3652572B"/>
    <w:rsid w:val="36830EAB"/>
    <w:rsid w:val="3694746E"/>
    <w:rsid w:val="36CD7C20"/>
    <w:rsid w:val="36E9178F"/>
    <w:rsid w:val="37372634"/>
    <w:rsid w:val="373B7F42"/>
    <w:rsid w:val="37653111"/>
    <w:rsid w:val="38175C55"/>
    <w:rsid w:val="384D3F7B"/>
    <w:rsid w:val="3919073D"/>
    <w:rsid w:val="395A4C9C"/>
    <w:rsid w:val="399E49B2"/>
    <w:rsid w:val="39BB655A"/>
    <w:rsid w:val="39C032B9"/>
    <w:rsid w:val="39F55A74"/>
    <w:rsid w:val="39F70969"/>
    <w:rsid w:val="3A6301E3"/>
    <w:rsid w:val="3A7B253C"/>
    <w:rsid w:val="3A8147A4"/>
    <w:rsid w:val="3ACF15CF"/>
    <w:rsid w:val="3AF51DFF"/>
    <w:rsid w:val="3B945BA8"/>
    <w:rsid w:val="3BE04296"/>
    <w:rsid w:val="3BF43151"/>
    <w:rsid w:val="3C074E47"/>
    <w:rsid w:val="3C282908"/>
    <w:rsid w:val="3C643EA8"/>
    <w:rsid w:val="3D4D1FEB"/>
    <w:rsid w:val="3D9573FF"/>
    <w:rsid w:val="3DC56972"/>
    <w:rsid w:val="3DF065D2"/>
    <w:rsid w:val="3E433BCF"/>
    <w:rsid w:val="3E5E0502"/>
    <w:rsid w:val="3E7762B4"/>
    <w:rsid w:val="3EB70DA6"/>
    <w:rsid w:val="3EEB6649"/>
    <w:rsid w:val="3F563958"/>
    <w:rsid w:val="3FB97CF0"/>
    <w:rsid w:val="400B3158"/>
    <w:rsid w:val="403B35EC"/>
    <w:rsid w:val="404E6F69"/>
    <w:rsid w:val="409451D6"/>
    <w:rsid w:val="409C3134"/>
    <w:rsid w:val="40C36CD6"/>
    <w:rsid w:val="40EB6716"/>
    <w:rsid w:val="411918A4"/>
    <w:rsid w:val="412F13AB"/>
    <w:rsid w:val="41445B9A"/>
    <w:rsid w:val="41725F5D"/>
    <w:rsid w:val="418B07AC"/>
    <w:rsid w:val="419F0D52"/>
    <w:rsid w:val="41BA63DC"/>
    <w:rsid w:val="41BD0C44"/>
    <w:rsid w:val="41E26090"/>
    <w:rsid w:val="41E415CA"/>
    <w:rsid w:val="41FF4945"/>
    <w:rsid w:val="4216328E"/>
    <w:rsid w:val="425D7EB7"/>
    <w:rsid w:val="425F778B"/>
    <w:rsid w:val="426A3431"/>
    <w:rsid w:val="42821E03"/>
    <w:rsid w:val="432335FB"/>
    <w:rsid w:val="43570A73"/>
    <w:rsid w:val="436E6B25"/>
    <w:rsid w:val="438E1635"/>
    <w:rsid w:val="441851E7"/>
    <w:rsid w:val="441F299F"/>
    <w:rsid w:val="4426752C"/>
    <w:rsid w:val="446D580A"/>
    <w:rsid w:val="4499095B"/>
    <w:rsid w:val="45255D02"/>
    <w:rsid w:val="452D0D45"/>
    <w:rsid w:val="45D53A6E"/>
    <w:rsid w:val="46CE3171"/>
    <w:rsid w:val="473B795E"/>
    <w:rsid w:val="47632090"/>
    <w:rsid w:val="47972D42"/>
    <w:rsid w:val="47C9033D"/>
    <w:rsid w:val="47CE2ED7"/>
    <w:rsid w:val="48123071"/>
    <w:rsid w:val="4815405E"/>
    <w:rsid w:val="48385946"/>
    <w:rsid w:val="488C6465"/>
    <w:rsid w:val="489B714F"/>
    <w:rsid w:val="48E96C72"/>
    <w:rsid w:val="48FB56F7"/>
    <w:rsid w:val="49314FF7"/>
    <w:rsid w:val="49417BEA"/>
    <w:rsid w:val="49826870"/>
    <w:rsid w:val="4A4376F9"/>
    <w:rsid w:val="4A8E22EA"/>
    <w:rsid w:val="4AE62F44"/>
    <w:rsid w:val="4B033C70"/>
    <w:rsid w:val="4BC607A7"/>
    <w:rsid w:val="4C526C0C"/>
    <w:rsid w:val="4C7A69FA"/>
    <w:rsid w:val="4C8D6A2D"/>
    <w:rsid w:val="4D02644D"/>
    <w:rsid w:val="4DE60D60"/>
    <w:rsid w:val="4E174457"/>
    <w:rsid w:val="4E1F5200"/>
    <w:rsid w:val="4E3242E9"/>
    <w:rsid w:val="4E8B16F6"/>
    <w:rsid w:val="4EBF6FDA"/>
    <w:rsid w:val="4EF45293"/>
    <w:rsid w:val="4F1D30E6"/>
    <w:rsid w:val="4F654D04"/>
    <w:rsid w:val="4F795BCA"/>
    <w:rsid w:val="4F7D127A"/>
    <w:rsid w:val="4F9C201E"/>
    <w:rsid w:val="4FA85AF4"/>
    <w:rsid w:val="4FD07F1A"/>
    <w:rsid w:val="4FF34AB5"/>
    <w:rsid w:val="502A193D"/>
    <w:rsid w:val="50524E2C"/>
    <w:rsid w:val="505D6F6E"/>
    <w:rsid w:val="508B2AE2"/>
    <w:rsid w:val="50D30CBE"/>
    <w:rsid w:val="512578D6"/>
    <w:rsid w:val="512B2D13"/>
    <w:rsid w:val="519C5BD9"/>
    <w:rsid w:val="51EC090F"/>
    <w:rsid w:val="51EE0948"/>
    <w:rsid w:val="524225F6"/>
    <w:rsid w:val="525A3ACB"/>
    <w:rsid w:val="52752B51"/>
    <w:rsid w:val="528F2BD2"/>
    <w:rsid w:val="533B4033"/>
    <w:rsid w:val="535617AB"/>
    <w:rsid w:val="53B2413F"/>
    <w:rsid w:val="53B43646"/>
    <w:rsid w:val="53C26810"/>
    <w:rsid w:val="53DE3514"/>
    <w:rsid w:val="53EF7B14"/>
    <w:rsid w:val="5405522F"/>
    <w:rsid w:val="545F5187"/>
    <w:rsid w:val="548F3B9F"/>
    <w:rsid w:val="54957305"/>
    <w:rsid w:val="5498710E"/>
    <w:rsid w:val="54C27106"/>
    <w:rsid w:val="54EE4FFD"/>
    <w:rsid w:val="55055184"/>
    <w:rsid w:val="557A0A22"/>
    <w:rsid w:val="558657C6"/>
    <w:rsid w:val="55870F03"/>
    <w:rsid w:val="558F48C0"/>
    <w:rsid w:val="55D6790C"/>
    <w:rsid w:val="55E927EF"/>
    <w:rsid w:val="55F15D3C"/>
    <w:rsid w:val="56415F7B"/>
    <w:rsid w:val="56555C57"/>
    <w:rsid w:val="56CB5A4E"/>
    <w:rsid w:val="56CE0691"/>
    <w:rsid w:val="56E36785"/>
    <w:rsid w:val="56E706E3"/>
    <w:rsid w:val="56F94D49"/>
    <w:rsid w:val="570E5209"/>
    <w:rsid w:val="57510076"/>
    <w:rsid w:val="5765363E"/>
    <w:rsid w:val="58A62685"/>
    <w:rsid w:val="58B05846"/>
    <w:rsid w:val="59211614"/>
    <w:rsid w:val="5932754F"/>
    <w:rsid w:val="5939450C"/>
    <w:rsid w:val="593C3923"/>
    <w:rsid w:val="59556F4B"/>
    <w:rsid w:val="595A11FB"/>
    <w:rsid w:val="5985531A"/>
    <w:rsid w:val="598D75E5"/>
    <w:rsid w:val="59D9018E"/>
    <w:rsid w:val="59DB2654"/>
    <w:rsid w:val="5B747546"/>
    <w:rsid w:val="5BF353E0"/>
    <w:rsid w:val="5BF6785E"/>
    <w:rsid w:val="5C0C6651"/>
    <w:rsid w:val="5C65232A"/>
    <w:rsid w:val="5D8B4293"/>
    <w:rsid w:val="5D9C33E1"/>
    <w:rsid w:val="5D9D52B0"/>
    <w:rsid w:val="5DE53332"/>
    <w:rsid w:val="5E287760"/>
    <w:rsid w:val="5E321035"/>
    <w:rsid w:val="5E594EAF"/>
    <w:rsid w:val="5EA71AB0"/>
    <w:rsid w:val="5F09138A"/>
    <w:rsid w:val="5F57386C"/>
    <w:rsid w:val="5FEE09EC"/>
    <w:rsid w:val="600B27A8"/>
    <w:rsid w:val="60523013"/>
    <w:rsid w:val="60780049"/>
    <w:rsid w:val="60AF1486"/>
    <w:rsid w:val="612F7CBB"/>
    <w:rsid w:val="6150788C"/>
    <w:rsid w:val="617F3656"/>
    <w:rsid w:val="62282C06"/>
    <w:rsid w:val="62AB75A1"/>
    <w:rsid w:val="62B83782"/>
    <w:rsid w:val="62D87AA2"/>
    <w:rsid w:val="62F644C9"/>
    <w:rsid w:val="62FA285D"/>
    <w:rsid w:val="63235E94"/>
    <w:rsid w:val="632C291F"/>
    <w:rsid w:val="63442CD8"/>
    <w:rsid w:val="634564BC"/>
    <w:rsid w:val="63A24BA3"/>
    <w:rsid w:val="63FC21F0"/>
    <w:rsid w:val="64F115AE"/>
    <w:rsid w:val="651F307E"/>
    <w:rsid w:val="655A5E64"/>
    <w:rsid w:val="658206AA"/>
    <w:rsid w:val="65A42FB2"/>
    <w:rsid w:val="65D65AEC"/>
    <w:rsid w:val="65F921C6"/>
    <w:rsid w:val="66296A76"/>
    <w:rsid w:val="6630299A"/>
    <w:rsid w:val="66335488"/>
    <w:rsid w:val="66442AA1"/>
    <w:rsid w:val="66A500B4"/>
    <w:rsid w:val="678825B4"/>
    <w:rsid w:val="67A65DBD"/>
    <w:rsid w:val="67B145E7"/>
    <w:rsid w:val="68183659"/>
    <w:rsid w:val="681B62A8"/>
    <w:rsid w:val="69127F88"/>
    <w:rsid w:val="696D4932"/>
    <w:rsid w:val="699E75DB"/>
    <w:rsid w:val="69EE30BD"/>
    <w:rsid w:val="6A31573E"/>
    <w:rsid w:val="6A8158A5"/>
    <w:rsid w:val="6AE938AD"/>
    <w:rsid w:val="6B9A1F2E"/>
    <w:rsid w:val="6BAC6A09"/>
    <w:rsid w:val="6BC42B50"/>
    <w:rsid w:val="6BE057E9"/>
    <w:rsid w:val="6BE720D0"/>
    <w:rsid w:val="6C3F3C13"/>
    <w:rsid w:val="6C554E23"/>
    <w:rsid w:val="6C572E56"/>
    <w:rsid w:val="6CC55A69"/>
    <w:rsid w:val="6CDA69B9"/>
    <w:rsid w:val="6CEF184F"/>
    <w:rsid w:val="6D1227DD"/>
    <w:rsid w:val="6D454C9F"/>
    <w:rsid w:val="6D7A52B5"/>
    <w:rsid w:val="6DB96ECB"/>
    <w:rsid w:val="6DC40DBE"/>
    <w:rsid w:val="6DE74F22"/>
    <w:rsid w:val="6E3B0A38"/>
    <w:rsid w:val="6E654F2C"/>
    <w:rsid w:val="6E7E6053"/>
    <w:rsid w:val="6E85274D"/>
    <w:rsid w:val="6EA45B20"/>
    <w:rsid w:val="6EBB4D1E"/>
    <w:rsid w:val="6F0A08FB"/>
    <w:rsid w:val="6FA1644E"/>
    <w:rsid w:val="6FDF7B2E"/>
    <w:rsid w:val="6FF04BB8"/>
    <w:rsid w:val="70BA3C5B"/>
    <w:rsid w:val="71461640"/>
    <w:rsid w:val="71A21AC0"/>
    <w:rsid w:val="721C5DF4"/>
    <w:rsid w:val="72226823"/>
    <w:rsid w:val="724E52E9"/>
    <w:rsid w:val="72A3100B"/>
    <w:rsid w:val="72FF19ED"/>
    <w:rsid w:val="73955795"/>
    <w:rsid w:val="73C81F75"/>
    <w:rsid w:val="741B4B6E"/>
    <w:rsid w:val="742570E6"/>
    <w:rsid w:val="749A4CDD"/>
    <w:rsid w:val="74A75DF0"/>
    <w:rsid w:val="75082C61"/>
    <w:rsid w:val="750E30D2"/>
    <w:rsid w:val="752B4225"/>
    <w:rsid w:val="75580F6E"/>
    <w:rsid w:val="756F42A4"/>
    <w:rsid w:val="75AB270C"/>
    <w:rsid w:val="75FA1D39"/>
    <w:rsid w:val="7632407E"/>
    <w:rsid w:val="768939C2"/>
    <w:rsid w:val="77273416"/>
    <w:rsid w:val="77685D60"/>
    <w:rsid w:val="776D1790"/>
    <w:rsid w:val="77A05CFA"/>
    <w:rsid w:val="77B07B65"/>
    <w:rsid w:val="786B1C4C"/>
    <w:rsid w:val="78737AA0"/>
    <w:rsid w:val="78B132E0"/>
    <w:rsid w:val="78C04537"/>
    <w:rsid w:val="78E86A1C"/>
    <w:rsid w:val="791B5C93"/>
    <w:rsid w:val="793A6CA9"/>
    <w:rsid w:val="798B205B"/>
    <w:rsid w:val="79D63FA2"/>
    <w:rsid w:val="79DC22F7"/>
    <w:rsid w:val="7A2475DA"/>
    <w:rsid w:val="7A4647B1"/>
    <w:rsid w:val="7AA03123"/>
    <w:rsid w:val="7B000E04"/>
    <w:rsid w:val="7B2231BE"/>
    <w:rsid w:val="7B2B4D4A"/>
    <w:rsid w:val="7B552823"/>
    <w:rsid w:val="7B933A26"/>
    <w:rsid w:val="7BB6256E"/>
    <w:rsid w:val="7C217772"/>
    <w:rsid w:val="7C38742C"/>
    <w:rsid w:val="7C9F1C24"/>
    <w:rsid w:val="7CE37CA8"/>
    <w:rsid w:val="7D336661"/>
    <w:rsid w:val="7D587CA1"/>
    <w:rsid w:val="7D7E7731"/>
    <w:rsid w:val="7D946A97"/>
    <w:rsid w:val="7DBA34EC"/>
    <w:rsid w:val="7DBB623B"/>
    <w:rsid w:val="7E332440"/>
    <w:rsid w:val="7E657F4C"/>
    <w:rsid w:val="7EE9045D"/>
    <w:rsid w:val="7EEE3B00"/>
    <w:rsid w:val="7EF0033C"/>
    <w:rsid w:val="7EF6672C"/>
    <w:rsid w:val="7EFB456A"/>
    <w:rsid w:val="7F167A53"/>
    <w:rsid w:val="7F307D58"/>
    <w:rsid w:val="7F385C3B"/>
    <w:rsid w:val="7F6C2C93"/>
    <w:rsid w:val="7F8F6857"/>
    <w:rsid w:val="7FCE4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5">
    <w:name w:val="heading 2"/>
    <w:basedOn w:val="1"/>
    <w:next w:val="1"/>
    <w:qFormat/>
    <w:uiPriority w:val="9"/>
    <w:pPr>
      <w:numPr>
        <w:ilvl w:val="0"/>
        <w:numId w:val="2"/>
      </w:numPr>
      <w:adjustRightInd w:val="0"/>
      <w:spacing w:before="150" w:beforeLines="150"/>
      <w:outlineLvl w:val="1"/>
    </w:pPr>
    <w:rPr>
      <w:rFonts w:eastAsia="黑体"/>
      <w:b/>
      <w:sz w:val="28"/>
    </w:rPr>
  </w:style>
  <w:style w:type="paragraph" w:styleId="6">
    <w:name w:val="heading 3"/>
    <w:basedOn w:val="1"/>
    <w:next w:val="1"/>
    <w:link w:val="55"/>
    <w:qFormat/>
    <w:uiPriority w:val="9"/>
    <w:pPr>
      <w:numPr>
        <w:ilvl w:val="1"/>
        <w:numId w:val="2"/>
      </w:numPr>
      <w:adjustRightInd w:val="0"/>
      <w:spacing w:before="100" w:beforeLines="100"/>
      <w:outlineLvl w:val="2"/>
    </w:pPr>
    <w:rPr>
      <w:rFonts w:eastAsia="黑体"/>
      <w:sz w:val="28"/>
    </w:rPr>
  </w:style>
  <w:style w:type="paragraph" w:styleId="7">
    <w:name w:val="heading 4"/>
    <w:basedOn w:val="1"/>
    <w:next w:val="1"/>
    <w:unhideWhenUsed/>
    <w:qFormat/>
    <w:uiPriority w:val="0"/>
    <w:pPr>
      <w:keepNext/>
      <w:keepLines/>
      <w:numPr>
        <w:ilvl w:val="2"/>
        <w:numId w:val="2"/>
      </w:numPr>
      <w:spacing w:before="280" w:after="290" w:line="372" w:lineRule="auto"/>
      <w:jc w:val="left"/>
      <w:outlineLvl w:val="3"/>
    </w:pPr>
    <w:rPr>
      <w:rFonts w:ascii="Arial" w:hAnsi="Arial" w:eastAsia="黑体"/>
      <w:b/>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after="120"/>
    </w:pPr>
  </w:style>
  <w:style w:type="paragraph" w:styleId="3">
    <w:name w:val="Title"/>
    <w:basedOn w:val="1"/>
    <w:next w:val="1"/>
    <w:qFormat/>
    <w:uiPriority w:val="10"/>
    <w:pPr>
      <w:ind w:firstLine="0" w:firstLineChars="0"/>
      <w:contextualSpacing/>
      <w:jc w:val="center"/>
    </w:pPr>
    <w:rPr>
      <w:rFonts w:ascii="Cambria" w:hAnsi="Cambria" w:eastAsia="宋体"/>
      <w:b/>
      <w:spacing w:val="5"/>
      <w:sz w:val="32"/>
      <w:szCs w:val="52"/>
    </w:rPr>
  </w:style>
  <w:style w:type="paragraph" w:styleId="8">
    <w:name w:val="caption"/>
    <w:basedOn w:val="1"/>
    <w:next w:val="1"/>
    <w:semiHidden/>
    <w:unhideWhenUsed/>
    <w:qFormat/>
    <w:uiPriority w:val="0"/>
    <w:rPr>
      <w:rFonts w:ascii="Arial" w:hAnsi="Arial" w:eastAsia="黑体"/>
      <w:sz w:val="20"/>
    </w:rPr>
  </w:style>
  <w:style w:type="paragraph" w:styleId="9">
    <w:name w:val="annotation text"/>
    <w:basedOn w:val="1"/>
    <w:qFormat/>
    <w:uiPriority w:val="0"/>
    <w:pPr>
      <w:jc w:val="left"/>
    </w:pPr>
  </w:style>
  <w:style w:type="paragraph" w:styleId="10">
    <w:name w:val="toc 5"/>
    <w:basedOn w:val="1"/>
    <w:next w:val="1"/>
    <w:qFormat/>
    <w:uiPriority w:val="0"/>
    <w:pPr>
      <w:ind w:left="1680" w:leftChars="800"/>
    </w:pPr>
  </w:style>
  <w:style w:type="paragraph" w:styleId="11">
    <w:name w:val="toc 3"/>
    <w:basedOn w:val="1"/>
    <w:next w:val="1"/>
    <w:semiHidden/>
    <w:qFormat/>
    <w:uiPriority w:val="0"/>
    <w:pPr>
      <w:tabs>
        <w:tab w:val="right" w:leader="dot" w:pos="9241"/>
      </w:tabs>
      <w:ind w:firstLine="100" w:firstLineChars="100"/>
      <w:jc w:val="left"/>
    </w:pPr>
    <w:rPr>
      <w:rFonts w:ascii="宋体" w:hAnsi="宋体" w:eastAsia="宋体" w:cs="宋体"/>
      <w:szCs w:val="21"/>
    </w:rPr>
  </w:style>
  <w:style w:type="paragraph" w:styleId="12">
    <w:name w:val="Balloon Text"/>
    <w:basedOn w:val="1"/>
    <w:link w:val="53"/>
    <w:qFormat/>
    <w:uiPriority w:val="0"/>
    <w:rPr>
      <w:sz w:val="18"/>
      <w:szCs w:val="18"/>
    </w:rPr>
  </w:style>
  <w:style w:type="paragraph" w:styleId="13">
    <w:name w:val="footer"/>
    <w:basedOn w:val="1"/>
    <w:qFormat/>
    <w:uiPriority w:val="0"/>
    <w:pPr>
      <w:snapToGrid w:val="0"/>
      <w:ind w:right="210" w:rightChars="100"/>
      <w:jc w:val="righ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tabs>
        <w:tab w:val="right" w:leader="dot" w:pos="9242"/>
      </w:tabs>
      <w:spacing w:line="300" w:lineRule="auto"/>
      <w:jc w:val="left"/>
    </w:pPr>
    <w:rPr>
      <w:rFonts w:ascii="宋体" w:hAnsi="宋体" w:eastAsia="宋体" w:cs="宋体"/>
      <w:szCs w:val="21"/>
    </w:rPr>
  </w:style>
  <w:style w:type="paragraph" w:styleId="16">
    <w:name w:val="toc 4"/>
    <w:basedOn w:val="1"/>
    <w:next w:val="1"/>
    <w:qFormat/>
    <w:uiPriority w:val="0"/>
    <w:pPr>
      <w:ind w:left="1260" w:leftChars="600"/>
    </w:pPr>
  </w:style>
  <w:style w:type="paragraph" w:styleId="17">
    <w:name w:val="toc 2"/>
    <w:basedOn w:val="1"/>
    <w:next w:val="1"/>
    <w:qFormat/>
    <w:uiPriority w:val="0"/>
    <w:pPr>
      <w:tabs>
        <w:tab w:val="right" w:leader="dot" w:pos="9242"/>
      </w:tabs>
      <w:spacing w:line="300" w:lineRule="auto"/>
    </w:pPr>
    <w:rPr>
      <w:rFonts w:ascii="宋体" w:hAnsi="宋体" w:eastAsia="宋体" w:cs="宋体"/>
      <w:szCs w:val="21"/>
    </w:rPr>
  </w:style>
  <w:style w:type="paragraph" w:styleId="18">
    <w:name w:val="Normal (Web)"/>
    <w:basedOn w:val="1"/>
    <w:qFormat/>
    <w:uiPriority w:val="0"/>
    <w:pPr>
      <w:spacing w:before="100" w:beforeAutospacing="1" w:after="100" w:afterAutospacing="1"/>
      <w:jc w:val="left"/>
    </w:pPr>
    <w:rPr>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Cs/>
    </w:rPr>
  </w:style>
  <w:style w:type="character" w:styleId="23">
    <w:name w:val="annotation reference"/>
    <w:basedOn w:val="21"/>
    <w:qFormat/>
    <w:uiPriority w:val="0"/>
    <w:rPr>
      <w:sz w:val="21"/>
      <w:szCs w:val="21"/>
    </w:rPr>
  </w:style>
  <w:style w:type="paragraph" w:customStyle="1" w:styleId="24">
    <w:name w:val="章标题"/>
    <w:next w:val="25"/>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6">
    <w:name w:val="一级条标题"/>
    <w:next w:val="25"/>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27">
    <w:name w:val="二级条标题"/>
    <w:basedOn w:val="26"/>
    <w:next w:val="25"/>
    <w:link w:val="64"/>
    <w:qFormat/>
    <w:uiPriority w:val="0"/>
    <w:pPr>
      <w:numPr>
        <w:ilvl w:val="2"/>
      </w:numPr>
      <w:spacing w:before="50" w:after="50"/>
      <w:outlineLvl w:val="3"/>
    </w:pPr>
  </w:style>
  <w:style w:type="paragraph" w:customStyle="1" w:styleId="28">
    <w:name w:val="三级条标题"/>
    <w:basedOn w:val="27"/>
    <w:next w:val="25"/>
    <w:qFormat/>
    <w:uiPriority w:val="0"/>
    <w:pPr>
      <w:numPr>
        <w:ilvl w:val="3"/>
      </w:numPr>
      <w:outlineLvl w:val="4"/>
    </w:pPr>
  </w:style>
  <w:style w:type="paragraph" w:customStyle="1" w:styleId="2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0">
    <w:name w:val="其他标准标志"/>
    <w:basedOn w:val="31"/>
    <w:qFormat/>
    <w:uiPriority w:val="0"/>
    <w:pPr>
      <w:framePr w:w="6101" w:wrap="around" w:vAnchor="page" w:hAnchor="page" w:x="4673" w:y="942"/>
    </w:pPr>
    <w:rPr>
      <w:w w:val="130"/>
    </w:rPr>
  </w:style>
  <w:style w:type="paragraph" w:customStyle="1" w:styleId="3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6">
    <w:name w:val="封面标准英文名称"/>
    <w:basedOn w:val="35"/>
    <w:qFormat/>
    <w:uiPriority w:val="0"/>
    <w:pPr>
      <w:framePr w:wrap="around"/>
      <w:spacing w:before="370" w:line="400" w:lineRule="exact"/>
    </w:pPr>
    <w:rPr>
      <w:rFonts w:ascii="Times New Roman"/>
      <w:sz w:val="28"/>
      <w:szCs w:val="28"/>
    </w:rPr>
  </w:style>
  <w:style w:type="paragraph" w:customStyle="1" w:styleId="37">
    <w:name w:val="封面一致性程度标识"/>
    <w:basedOn w:val="36"/>
    <w:qFormat/>
    <w:uiPriority w:val="0"/>
    <w:pPr>
      <w:framePr w:wrap="around"/>
      <w:spacing w:before="440"/>
    </w:pPr>
    <w:rPr>
      <w:rFonts w:ascii="宋体" w:eastAsia="宋体"/>
    </w:rPr>
  </w:style>
  <w:style w:type="paragraph" w:customStyle="1" w:styleId="38">
    <w:name w:val="封面标准文稿类别"/>
    <w:basedOn w:val="37"/>
    <w:qFormat/>
    <w:uiPriority w:val="0"/>
    <w:pPr>
      <w:framePr w:wrap="around"/>
      <w:spacing w:after="160" w:line="240" w:lineRule="auto"/>
    </w:pPr>
    <w:rPr>
      <w:sz w:val="24"/>
    </w:rPr>
  </w:style>
  <w:style w:type="paragraph" w:customStyle="1" w:styleId="39">
    <w:name w:val="封面标准文稿编辑信息"/>
    <w:basedOn w:val="38"/>
    <w:qFormat/>
    <w:uiPriority w:val="0"/>
    <w:pPr>
      <w:framePr w:wrap="around"/>
      <w:spacing w:before="180" w:line="180" w:lineRule="exact"/>
    </w:pPr>
    <w:rPr>
      <w:sz w:val="21"/>
    </w:rPr>
  </w:style>
  <w:style w:type="paragraph" w:customStyle="1" w:styleId="40">
    <w:name w:val="其他发布日期"/>
    <w:basedOn w:val="41"/>
    <w:qFormat/>
    <w:uiPriority w:val="0"/>
    <w:pPr>
      <w:framePr w:wrap="around" w:vAnchor="page" w:hAnchor="text" w:x="1419"/>
    </w:pPr>
  </w:style>
  <w:style w:type="paragraph" w:customStyle="1" w:styleId="4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42">
    <w:name w:val="其他实施日期"/>
    <w:basedOn w:val="43"/>
    <w:qFormat/>
    <w:uiPriority w:val="0"/>
    <w:pPr>
      <w:framePr w:wrap="around"/>
    </w:pPr>
  </w:style>
  <w:style w:type="paragraph" w:customStyle="1" w:styleId="43">
    <w:name w:val="实施日期"/>
    <w:basedOn w:val="41"/>
    <w:qFormat/>
    <w:uiPriority w:val="0"/>
    <w:pPr>
      <w:framePr w:wrap="around" w:vAnchor="page" w:hAnchor="text"/>
      <w:jc w:val="right"/>
    </w:pPr>
  </w:style>
  <w:style w:type="paragraph" w:customStyle="1" w:styleId="44">
    <w:name w:val="其他发布部门"/>
    <w:basedOn w:val="45"/>
    <w:qFormat/>
    <w:uiPriority w:val="0"/>
    <w:pPr>
      <w:framePr w:wrap="around" w:y="15310"/>
      <w:spacing w:line="0" w:lineRule="atLeast"/>
    </w:pPr>
    <w:rPr>
      <w:rFonts w:ascii="黑体" w:eastAsia="黑体"/>
      <w:b w:val="0"/>
    </w:rPr>
  </w:style>
  <w:style w:type="paragraph" w:customStyle="1" w:styleId="4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46">
    <w:name w:val="前言、引言标题"/>
    <w:next w:val="25"/>
    <w:qFormat/>
    <w:uiPriority w:val="0"/>
    <w:pPr>
      <w:keepNext w:val="0"/>
      <w:pageBreakBefore w:val="0"/>
      <w:widowControl w:val="0"/>
      <w:shd w:val="clear" w:color="FFFFFF" w:fill="FFFFFF"/>
      <w:spacing w:before="640" w:after="560"/>
      <w:jc w:val="center"/>
      <w:outlineLvl w:val="0"/>
    </w:pPr>
    <w:rPr>
      <w:rFonts w:ascii="黑体" w:hAnsi="黑体" w:eastAsia="黑体" w:cs="Times New Roman"/>
      <w:sz w:val="32"/>
      <w:lang w:val="en-US" w:eastAsia="zh-CN" w:bidi="ar-SA"/>
    </w:rPr>
  </w:style>
  <w:style w:type="paragraph" w:customStyle="1" w:styleId="47">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8">
    <w:name w:val="终结线"/>
    <w:basedOn w:val="1"/>
    <w:qFormat/>
    <w:uiPriority w:val="0"/>
    <w:pPr>
      <w:framePr w:hSpace="181" w:vSpace="181" w:wrap="around" w:vAnchor="text" w:hAnchor="margin" w:xAlign="center" w:y="285"/>
    </w:pPr>
  </w:style>
  <w:style w:type="paragraph" w:customStyle="1" w:styleId="49">
    <w:name w:val="标准书眉_偶数页"/>
    <w:basedOn w:val="50"/>
    <w:next w:val="1"/>
    <w:qFormat/>
    <w:uiPriority w:val="0"/>
    <w:pPr>
      <w:tabs>
        <w:tab w:val="center" w:pos="4154"/>
        <w:tab w:val="right" w:pos="8306"/>
      </w:tabs>
      <w:jc w:val="left"/>
    </w:pPr>
  </w:style>
  <w:style w:type="paragraph" w:customStyle="1" w:styleId="5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5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53">
    <w:name w:val="批注框文本 Char"/>
    <w:basedOn w:val="21"/>
    <w:link w:val="12"/>
    <w:qFormat/>
    <w:uiPriority w:val="0"/>
    <w:rPr>
      <w:kern w:val="2"/>
      <w:sz w:val="18"/>
      <w:szCs w:val="18"/>
    </w:rPr>
  </w:style>
  <w:style w:type="paragraph" w:styleId="54">
    <w:name w:val="List Paragraph"/>
    <w:basedOn w:val="1"/>
    <w:qFormat/>
    <w:uiPriority w:val="34"/>
    <w:pPr>
      <w:ind w:firstLine="420"/>
    </w:pPr>
  </w:style>
  <w:style w:type="character" w:customStyle="1" w:styleId="55">
    <w:name w:val="标题 3 Char"/>
    <w:link w:val="6"/>
    <w:qFormat/>
    <w:uiPriority w:val="0"/>
    <w:rPr>
      <w:rFonts w:eastAsia="黑体"/>
      <w:sz w:val="28"/>
    </w:rPr>
  </w:style>
  <w:style w:type="paragraph" w:customStyle="1" w:styleId="56">
    <w:name w:val="注：（正文）"/>
    <w:basedOn w:val="57"/>
    <w:next w:val="25"/>
    <w:qFormat/>
    <w:uiPriority w:val="0"/>
    <w:pPr>
      <w:tabs>
        <w:tab w:val="left" w:pos="0"/>
      </w:tabs>
    </w:pPr>
  </w:style>
  <w:style w:type="paragraph" w:customStyle="1" w:styleId="57">
    <w:name w:val="注："/>
    <w:next w:val="25"/>
    <w:qFormat/>
    <w:uiPriority w:val="0"/>
    <w:pPr>
      <w:widowControl w:val="0"/>
      <w:numPr>
        <w:ilvl w:val="0"/>
        <w:numId w:val="4"/>
      </w:numPr>
      <w:autoSpaceDE w:val="0"/>
      <w:autoSpaceDN w:val="0"/>
      <w:ind w:left="726" w:hanging="363"/>
      <w:jc w:val="both"/>
    </w:pPr>
    <w:rPr>
      <w:rFonts w:ascii="宋体" w:hAnsi="宋体" w:eastAsia="宋体" w:cs="Times New Roman"/>
      <w:sz w:val="18"/>
      <w:szCs w:val="18"/>
      <w:lang w:val="en-US" w:eastAsia="zh-CN" w:bidi="ar-SA"/>
    </w:rPr>
  </w:style>
  <w:style w:type="paragraph" w:customStyle="1" w:styleId="58">
    <w:name w:val="注×：（正文）"/>
    <w:qFormat/>
    <w:uiPriority w:val="0"/>
    <w:pPr>
      <w:numPr>
        <w:ilvl w:val="0"/>
        <w:numId w:val="5"/>
      </w:numPr>
      <w:jc w:val="both"/>
    </w:pPr>
    <w:rPr>
      <w:rFonts w:ascii="宋体" w:hAnsi="宋体" w:eastAsia="宋体" w:cs="Times New Roman"/>
      <w:sz w:val="18"/>
      <w:szCs w:val="18"/>
      <w:lang w:val="en-US" w:eastAsia="zh-CN" w:bidi="ar-SA"/>
    </w:rPr>
  </w:style>
  <w:style w:type="paragraph" w:customStyle="1" w:styleId="59">
    <w:name w:val="列项●（二级）"/>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character" w:customStyle="1" w:styleId="60">
    <w:name w:val="high-light-bg4"/>
    <w:qFormat/>
    <w:uiPriority w:val="0"/>
  </w:style>
  <w:style w:type="paragraph" w:customStyle="1" w:styleId="61">
    <w:name w:val="一级附录"/>
    <w:basedOn w:val="1"/>
    <w:qFormat/>
    <w:uiPriority w:val="0"/>
    <w:pPr>
      <w:numPr>
        <w:ilvl w:val="0"/>
        <w:numId w:val="7"/>
      </w:numPr>
      <w:ind w:left="432" w:hanging="432"/>
      <w:jc w:val="center"/>
    </w:pPr>
    <w:rPr>
      <w:rFonts w:eastAsia="黑体" w:asciiTheme="minorAscii" w:hAnsiTheme="minorAscii"/>
      <w:color w:val="000000" w:themeColor="text1"/>
      <w14:textFill>
        <w14:solidFill>
          <w14:schemeClr w14:val="tx1"/>
        </w14:solidFill>
      </w14:textFill>
    </w:rPr>
  </w:style>
  <w:style w:type="paragraph" w:customStyle="1" w:styleId="62">
    <w:name w:val="二级附录"/>
    <w:basedOn w:val="1"/>
    <w:qFormat/>
    <w:uiPriority w:val="0"/>
    <w:pPr>
      <w:numPr>
        <w:ilvl w:val="1"/>
        <w:numId w:val="7"/>
      </w:numPr>
    </w:pPr>
    <w:rPr>
      <w:rFonts w:eastAsia="黑体" w:asciiTheme="minorAscii" w:hAnsiTheme="minorAscii"/>
      <w:color w:val="000000" w:themeColor="text1"/>
      <w14:textFill>
        <w14:solidFill>
          <w14:schemeClr w14:val="tx1"/>
        </w14:solidFill>
      </w14:textFill>
    </w:rPr>
  </w:style>
  <w:style w:type="paragraph" w:customStyle="1" w:styleId="63">
    <w:name w:val="三级附录"/>
    <w:basedOn w:val="1"/>
    <w:next w:val="1"/>
    <w:qFormat/>
    <w:uiPriority w:val="0"/>
    <w:pPr>
      <w:keepNext w:val="0"/>
      <w:keepLines w:val="0"/>
      <w:pageBreakBefore w:val="0"/>
      <w:widowControl w:val="0"/>
      <w:numPr>
        <w:ilvl w:val="2"/>
        <w:numId w:val="7"/>
      </w:numPr>
      <w:spacing w:beforeLines="0" w:afterLines="0" w:line="360" w:lineRule="auto"/>
      <w:ind w:left="720" w:hanging="720"/>
      <w:outlineLvl w:val="0"/>
    </w:pPr>
    <w:rPr>
      <w:rFonts w:eastAsia="黑体" w:asciiTheme="minorAscii" w:hAnsiTheme="minorAscii"/>
      <w:kern w:val="44"/>
      <w:szCs w:val="32"/>
    </w:rPr>
  </w:style>
  <w:style w:type="character" w:customStyle="1" w:styleId="64">
    <w:name w:val="二级条标题 Char"/>
    <w:link w:val="27"/>
    <w:qFormat/>
    <w:uiPriority w:val="0"/>
  </w:style>
  <w:style w:type="paragraph" w:customStyle="1" w:styleId="65">
    <w:name w:val="四级附录"/>
    <w:basedOn w:val="1"/>
    <w:qFormat/>
    <w:uiPriority w:val="0"/>
    <w:pPr>
      <w:keepNext/>
      <w:keepLines/>
      <w:numPr>
        <w:ilvl w:val="3"/>
        <w:numId w:val="7"/>
      </w:numPr>
      <w:tabs>
        <w:tab w:val="left" w:pos="420"/>
        <w:tab w:val="clear" w:pos="0"/>
      </w:tabs>
      <w:spacing w:beforeLines="0" w:afterLines="0" w:line="360" w:lineRule="auto"/>
      <w:ind w:left="864" w:hanging="864"/>
      <w:outlineLvl w:val="0"/>
    </w:pPr>
    <w:rPr>
      <w:rFonts w:eastAsia="黑体" w:asciiTheme="minorAscii" w:hAnsiTheme="minorAscii"/>
      <w:kern w:val="44"/>
      <w:szCs w:val="32"/>
    </w:rPr>
  </w:style>
  <w:style w:type="paragraph" w:customStyle="1" w:styleId="66">
    <w:name w:val="五级附录"/>
    <w:basedOn w:val="1"/>
    <w:qFormat/>
    <w:uiPriority w:val="0"/>
    <w:pPr>
      <w:numPr>
        <w:ilvl w:val="4"/>
        <w:numId w:val="7"/>
      </w:numPr>
      <w:tabs>
        <w:tab w:val="left" w:pos="0"/>
      </w:tabs>
      <w:spacing w:before="50" w:beforeLines="50" w:after="50" w:afterLines="50" w:line="360" w:lineRule="auto"/>
      <w:ind w:left="1008" w:hanging="1008"/>
      <w:outlineLvl w:val="4"/>
    </w:pPr>
    <w:rPr>
      <w:rFonts w:hint="eastAsia" w:ascii="黑体" w:hAnsi="黑体" w:eastAsia="黑体"/>
      <w:szCs w:val="21"/>
    </w:rPr>
  </w:style>
  <w:style w:type="paragraph" w:customStyle="1" w:styleId="67">
    <w:name w:val="表标题"/>
    <w:basedOn w:val="1"/>
    <w:qFormat/>
    <w:uiPriority w:val="99"/>
    <w:pPr>
      <w:numPr>
        <w:ilvl w:val="0"/>
        <w:numId w:val="8"/>
      </w:numPr>
      <w:tabs>
        <w:tab w:val="left" w:pos="420"/>
        <w:tab w:val="clear" w:pos="0"/>
      </w:tabs>
      <w:spacing w:line="400" w:lineRule="exact"/>
      <w:ind w:firstLine="0" w:firstLineChars="0"/>
      <w:jc w:val="center"/>
    </w:pPr>
    <w:rPr>
      <w:rFonts w:ascii="Times New Roman" w:hAnsi="Times New Roman" w:eastAsia="黑体"/>
    </w:rPr>
  </w:style>
  <w:style w:type="paragraph" w:customStyle="1" w:styleId="68">
    <w:name w:val="表格文字"/>
    <w:basedOn w:val="1"/>
    <w:qFormat/>
    <w:uiPriority w:val="0"/>
    <w:pPr>
      <w:spacing w:line="360" w:lineRule="auto"/>
    </w:pPr>
    <w:rPr>
      <w:rFonts w:hint="eastAsia" w:ascii="Times New Roman" w:hAnsi="Times New Roman"/>
      <w:sz w:val="18"/>
    </w:rPr>
  </w:style>
  <w:style w:type="paragraph" w:customStyle="1" w:styleId="69">
    <w:name w:val="图标题"/>
    <w:basedOn w:val="1"/>
    <w:qFormat/>
    <w:uiPriority w:val="0"/>
    <w:pPr>
      <w:numPr>
        <w:ilvl w:val="0"/>
        <w:numId w:val="9"/>
      </w:numPr>
      <w:spacing w:after="120"/>
      <w:ind w:firstLine="480"/>
      <w:jc w:val="center"/>
    </w:pPr>
    <w:rPr>
      <w:rFonts w:hint="eastAsia" w:ascii="宋体" w:hAnsi="宋体" w:eastAsia="黑体" w:cs="宋体"/>
      <w:color w:val="auto"/>
    </w:rPr>
  </w:style>
  <w:style w:type="paragraph" w:customStyle="1" w:styleId="70">
    <w:name w:val="样式1"/>
    <w:basedOn w:val="1"/>
    <w:qFormat/>
    <w:uiPriority w:val="0"/>
    <w:pPr>
      <w:numPr>
        <w:ilvl w:val="0"/>
        <w:numId w:val="10"/>
      </w:numPr>
      <w:spacing w:before="50" w:beforeLines="50" w:after="50" w:afterLines="50"/>
      <w:outlineLvl w:val="9"/>
    </w:pPr>
    <w:rPr>
      <w:rFonts w:hint="eastAsia" w:ascii="黑体" w:hAnsi="黑体" w:eastAsia="黑体"/>
      <w:color w:val="auto"/>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48</Pages>
  <Words>30825</Words>
  <Characters>32024</Characters>
  <Lines>109</Lines>
  <Paragraphs>30</Paragraphs>
  <TotalTime>1</TotalTime>
  <ScaleCrop>false</ScaleCrop>
  <LinksUpToDate>false</LinksUpToDate>
  <CharactersWithSpaces>32451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2021-11-12T06:22:00Z</dcterms:created>
  <dc:creator>XPS15</dc:creator>
  <cp:lastModifiedBy>李佳丽</cp:lastModifiedBy>
  <dcterms:modified xsi:type="dcterms:W3CDTF">2023-05-30T06:12:45Z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23B461B51CD44D5EAF4EF675594D3A20_13</vt:lpwstr>
  </property>
</Properties>
</file>