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outlineLvl w:val="0"/>
        <w:rPr>
          <w:rFonts w:hint="eastAsia" w:ascii="Times New Roman" w:hAnsi="Times New Roman" w:eastAsia="黑体" w:cs="黑体"/>
          <w:bCs/>
          <w:color w:val="000000"/>
          <w:sz w:val="32"/>
          <w:szCs w:val="32"/>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pPr>
        <w:widowControl/>
        <w:jc w:val="left"/>
        <w:rPr>
          <w:rFonts w:ascii="Times New Roman" w:hAnsi="Times New Roman" w:eastAsia="仿宋_GB2312"/>
          <w:b w:val="0"/>
          <w:color w:val="000000"/>
          <w:sz w:val="44"/>
        </w:rPr>
      </w:pPr>
    </w:p>
    <w:p>
      <w:pPr>
        <w:widowControl/>
        <w:jc w:val="left"/>
        <w:rPr>
          <w:rFonts w:ascii="Times New Roman" w:hAnsi="Times New Roman" w:eastAsia="仿宋_GB2312"/>
          <w:color w:val="000000"/>
          <w:sz w:val="44"/>
        </w:rPr>
      </w:pPr>
    </w:p>
    <w:p>
      <w:pPr>
        <w:widowControl/>
        <w:jc w:val="center"/>
        <w:rPr>
          <w:rFonts w:hint="default" w:ascii="Times New Roman" w:hAnsi="Times New Roman" w:eastAsia="方正小标宋_GBK" w:cs="Times New Roman"/>
          <w:bCs/>
          <w:color w:val="000000"/>
          <w:sz w:val="44"/>
        </w:rPr>
      </w:pPr>
      <w:r>
        <w:rPr>
          <w:rFonts w:hint="default" w:ascii="Times New Roman" w:hAnsi="Times New Roman" w:eastAsia="方正小标宋_GBK" w:cs="Times New Roman"/>
          <w:bCs/>
          <w:color w:val="000000"/>
          <w:sz w:val="44"/>
        </w:rPr>
        <w:t>XX企业</w:t>
      </w:r>
    </w:p>
    <w:p>
      <w:pPr>
        <w:widowControl/>
        <w:jc w:val="center"/>
        <w:rPr>
          <w:rFonts w:hint="eastAsia" w:ascii="Times New Roman" w:hAnsi="Times New Roman" w:eastAsia="方正小标宋简体"/>
          <w:bCs/>
          <w:color w:val="000000"/>
          <w:sz w:val="44"/>
        </w:rPr>
      </w:pPr>
      <w:r>
        <w:rPr>
          <w:rFonts w:hint="default" w:ascii="Times New Roman" w:hAnsi="Times New Roman" w:eastAsia="方正小标宋_GBK" w:cs="Times New Roman"/>
          <w:bCs/>
          <w:color w:val="000000"/>
          <w:sz w:val="44"/>
        </w:rPr>
        <w:t>水效领跑者申请报告</w:t>
      </w: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bookmarkStart w:id="0" w:name="_GoBack"/>
      <w:bookmarkEnd w:id="0"/>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ind w:firstLine="0" w:firstLineChars="0"/>
        <w:jc w:val="left"/>
        <w:rPr>
          <w:rFonts w:ascii="Times New Roman" w:hAnsi="Times New Roman" w:eastAsia="仿宋_GB2312"/>
          <w:b w:val="0"/>
          <w:color w:val="000000"/>
          <w:sz w:val="32"/>
        </w:rPr>
      </w:pPr>
    </w:p>
    <w:p>
      <w:pPr>
        <w:widowControl/>
        <w:ind w:firstLine="640" w:firstLineChars="200"/>
        <w:rPr>
          <w:rFonts w:hint="eastAsia" w:ascii="Times New Roman" w:hAnsi="Times New Roman" w:eastAsia="仿宋_GB2312" w:cs="Times New Roman"/>
          <w:sz w:val="32"/>
          <w:szCs w:val="22"/>
          <w:highlight w:val="none"/>
          <w:u w:val="single"/>
        </w:rPr>
      </w:pPr>
      <w:r>
        <w:rPr>
          <w:rFonts w:hint="eastAsia" w:eastAsia="仿宋_GB2312" w:cs="Times New Roman"/>
          <w:sz w:val="32"/>
          <w:szCs w:val="22"/>
          <w:lang w:val="en-US" w:eastAsia="zh-CN"/>
        </w:rPr>
        <w:t>　　</w:t>
      </w:r>
      <w:r>
        <w:rPr>
          <w:rFonts w:hint="default" w:eastAsia="仿宋_GB2312" w:cs="Times New Roman"/>
          <w:sz w:val="32"/>
          <w:szCs w:val="22"/>
          <w:highlight w:val="none"/>
          <w:lang w:val="en-US" w:eastAsia="zh-CN"/>
        </w:rPr>
        <w:t>申报单位（盖章）</w:t>
      </w:r>
      <w:r>
        <w:rPr>
          <w:rFonts w:hint="default" w:ascii="Times New Roman" w:hAnsi="Times New Roman" w:eastAsia="仿宋_GB2312" w:cs="Times New Roman"/>
          <w:sz w:val="32"/>
          <w:szCs w:val="22"/>
          <w:highlight w:val="none"/>
        </w:rPr>
        <w:t>：</w:t>
      </w:r>
      <w:r>
        <w:rPr>
          <w:rFonts w:hint="eastAsia" w:eastAsia="仿宋_GB2312" w:cs="Times New Roman"/>
          <w:sz w:val="32"/>
          <w:szCs w:val="22"/>
          <w:u w:val="single"/>
          <w:lang w:eastAsia="zh-CN"/>
        </w:rPr>
        <w:t>　　　　　　　　　　</w:t>
      </w:r>
    </w:p>
    <w:p>
      <w:pPr>
        <w:widowControl/>
        <w:ind w:left="0" w:firstLine="640" w:firstLineChars="200"/>
        <w:jc w:val="center"/>
        <w:rPr>
          <w:rFonts w:hint="default" w:ascii="Times New Roman" w:hAnsi="Times New Roman" w:eastAsia="仿宋_GB2312" w:cs="Times New Roman"/>
          <w:sz w:val="32"/>
          <w:szCs w:val="22"/>
        </w:rPr>
      </w:pPr>
    </w:p>
    <w:p>
      <w:pPr>
        <w:widowControl/>
        <w:ind w:firstLine="640" w:firstLineChars="200"/>
        <w:jc w:val="both"/>
        <w:rPr>
          <w:rFonts w:hint="eastAsia" w:ascii="Times New Roman" w:hAnsi="Times New Roman" w:eastAsia="仿宋_GB2312" w:cs="Times New Roman"/>
          <w:sz w:val="32"/>
          <w:szCs w:val="22"/>
          <w:u w:val="single"/>
        </w:rPr>
      </w:pPr>
      <w:r>
        <w:rPr>
          <w:rFonts w:hint="eastAsia" w:eastAsia="仿宋_GB2312" w:cs="Times New Roman"/>
          <w:sz w:val="32"/>
          <w:szCs w:val="22"/>
          <w:lang w:eastAsia="zh-CN"/>
        </w:rPr>
        <w:t>　　</w:t>
      </w:r>
      <w:r>
        <w:rPr>
          <w:rFonts w:hint="default" w:ascii="Times New Roman" w:hAnsi="Times New Roman" w:eastAsia="仿宋_GB2312" w:cs="Times New Roman"/>
          <w:sz w:val="32"/>
          <w:szCs w:val="22"/>
          <w:highlight w:val="none"/>
        </w:rPr>
        <w:t>所</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在</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省</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市：</w:t>
      </w:r>
      <w:r>
        <w:rPr>
          <w:rFonts w:hint="eastAsia" w:eastAsia="仿宋_GB2312" w:cs="Times New Roman"/>
          <w:spacing w:val="-6"/>
          <w:sz w:val="32"/>
          <w:szCs w:val="22"/>
          <w:u w:val="single"/>
          <w:lang w:eastAsia="zh-CN"/>
        </w:rPr>
        <w:t>　　　　　　　　　　　　　</w:t>
      </w:r>
    </w:p>
    <w:p>
      <w:pPr>
        <w:widowControl/>
        <w:ind w:left="0" w:firstLine="640" w:firstLineChars="200"/>
        <w:rPr>
          <w:rFonts w:hint="eastAsia" w:ascii="Times New Roman" w:hAnsi="Times New Roman" w:eastAsia="仿宋_GB2312" w:cs="Times New Roman"/>
          <w:sz w:val="32"/>
          <w:szCs w:val="22"/>
          <w:highlight w:val="none"/>
        </w:rPr>
      </w:pPr>
      <w:r>
        <w:rPr>
          <w:rFonts w:hint="eastAsia" w:eastAsia="仿宋_GB2312" w:cs="Times New Roman"/>
          <w:sz w:val="32"/>
          <w:szCs w:val="22"/>
          <w:lang w:eastAsia="zh-CN"/>
        </w:rPr>
        <w:t>　　</w:t>
      </w:r>
    </w:p>
    <w:p>
      <w:pPr>
        <w:widowControl/>
        <w:jc w:val="center"/>
        <w:rPr>
          <w:rFonts w:hint="eastAsia" w:eastAsia="仿宋_GB2312"/>
          <w:b w:val="0"/>
          <w:color w:val="000000"/>
          <w:sz w:val="44"/>
          <w:lang w:eastAsia="zh-CN"/>
        </w:rPr>
      </w:pPr>
    </w:p>
    <w:p>
      <w:pPr>
        <w:pStyle w:val="2"/>
        <w:rPr>
          <w:rFonts w:hint="eastAsia"/>
          <w:lang w:eastAsia="zh-CN"/>
        </w:rPr>
      </w:pPr>
    </w:p>
    <w:p>
      <w:pPr>
        <w:widowControl/>
        <w:jc w:val="center"/>
        <w:rPr>
          <w:rFonts w:ascii="Times New Roman" w:hAnsi="Times New Roman" w:eastAsia="仿宋_GB2312"/>
          <w:b w:val="0"/>
          <w:color w:val="000000"/>
          <w:sz w:val="44"/>
        </w:rPr>
      </w:pPr>
    </w:p>
    <w:p>
      <w:pPr>
        <w:widowControl/>
        <w:jc w:val="center"/>
        <w:rPr>
          <w:rFonts w:hint="default" w:ascii="Times New Roman" w:hAnsi="Times New Roman" w:eastAsia="方正小标宋_GBK" w:cs="Times New Roman"/>
          <w:color w:val="000000"/>
          <w:sz w:val="32"/>
        </w:rPr>
      </w:pPr>
      <w:r>
        <w:rPr>
          <w:rFonts w:hint="default" w:ascii="Times New Roman" w:hAnsi="Times New Roman" w:eastAsia="方正小标宋_GBK" w:cs="Times New Roman"/>
          <w:color w:val="000000"/>
          <w:sz w:val="32"/>
        </w:rPr>
        <w:t>202X年X月</w:t>
      </w:r>
    </w:p>
    <w:p>
      <w:pPr>
        <w:widowControl/>
        <w:jc w:val="left"/>
        <w:rPr>
          <w:rFonts w:ascii="Times New Roman" w:hAnsi="Times New Roman" w:eastAsia="仿宋_GB2312"/>
          <w:color w:val="000000"/>
          <w:sz w:val="44"/>
        </w:rPr>
      </w:pPr>
    </w:p>
    <w:p>
      <w:pPr>
        <w:widowControl/>
        <w:jc w:val="center"/>
        <w:rPr>
          <w:rFonts w:hint="eastAsia" w:ascii="Times New Roman" w:hAnsi="Times New Roman" w:eastAsia="仿宋_GB2312"/>
          <w:color w:val="000000"/>
          <w:kern w:val="0"/>
          <w:sz w:val="44"/>
        </w:rPr>
        <w:sectPr>
          <w:head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color w:val="000000"/>
          <w:sz w:val="36"/>
          <w:szCs w:val="36"/>
        </w:rPr>
      </w:pPr>
      <w:r>
        <w:rPr>
          <w:rFonts w:hint="eastAsia" w:ascii="黑体" w:hAnsi="黑体" w:eastAsia="黑体" w:cs="黑体"/>
          <w:color w:val="000000"/>
          <w:sz w:val="36"/>
          <w:szCs w:val="36"/>
        </w:rPr>
        <w:t>填写说明</w:t>
      </w:r>
    </w:p>
    <w:p>
      <w:pPr>
        <w:widowControl/>
        <w:ind w:firstLine="640" w:firstLineChars="200"/>
        <w:jc w:val="left"/>
        <w:rPr>
          <w:rFonts w:ascii="Times New Roman" w:hAnsi="Times New Roman" w:eastAsia="仿宋_GB2312"/>
          <w:color w:val="000000"/>
          <w:sz w:val="32"/>
        </w:rPr>
      </w:pP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w:t>
      </w:r>
      <w:r>
        <w:rPr>
          <w:rFonts w:hint="eastAsia" w:eastAsia="仿宋_GB2312"/>
          <w:sz w:val="32"/>
          <w:lang w:val="en-US" w:eastAsia="zh-CN"/>
        </w:rPr>
        <w:t>.</w:t>
      </w:r>
      <w:r>
        <w:rPr>
          <w:rFonts w:ascii="Times New Roman" w:hAnsi="Times New Roman" w:eastAsia="仿宋_GB2312"/>
          <w:sz w:val="32"/>
        </w:rPr>
        <w:t>申报企业按照有关要求如实编写申请报告，并提供必要的证明材料。</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w:t>
      </w:r>
      <w:r>
        <w:rPr>
          <w:rFonts w:hint="eastAsia" w:eastAsia="仿宋_GB2312"/>
          <w:sz w:val="32"/>
          <w:lang w:val="en-US" w:eastAsia="zh-CN"/>
        </w:rPr>
        <w:t>.</w:t>
      </w:r>
      <w:r>
        <w:rPr>
          <w:rFonts w:ascii="Times New Roman" w:hAnsi="Times New Roman" w:eastAsia="仿宋_GB2312"/>
          <w:sz w:val="32"/>
        </w:rPr>
        <w:t>申请报告包含但不限于下列内容：</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（1）企业基本信息表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（2）企业水效分析报告</w:t>
      </w:r>
    </w:p>
    <w:p>
      <w:pPr>
        <w:widowControl/>
        <w:ind w:firstLine="640" w:firstLineChars="200"/>
        <w:jc w:val="left"/>
        <w:rPr>
          <w:rFonts w:ascii="Times New Roman" w:hAnsi="Times New Roman" w:eastAsia="仿宋_GB2312"/>
          <w:color w:val="000000"/>
          <w:sz w:val="32"/>
        </w:rPr>
      </w:pPr>
      <w:r>
        <w:rPr>
          <w:rFonts w:ascii="Times New Roman" w:hAnsi="Times New Roman" w:eastAsia="仿宋_GB2312"/>
          <w:sz w:val="32"/>
        </w:rPr>
        <w:t>（3）企业自评表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3</w:t>
      </w:r>
      <w:r>
        <w:rPr>
          <w:rFonts w:hint="eastAsia" w:eastAsia="仿宋_GB2312"/>
          <w:sz w:val="32"/>
          <w:lang w:val="en-US" w:eastAsia="zh-CN"/>
        </w:rPr>
        <w:t>.</w:t>
      </w:r>
      <w:r>
        <w:rPr>
          <w:rFonts w:ascii="Times New Roman" w:hAnsi="Times New Roman" w:eastAsia="仿宋_GB2312"/>
          <w:sz w:val="32"/>
        </w:rPr>
        <w:t>以上材料需按顺序编排，并在相应位置加盖公章</w:t>
      </w:r>
      <w:r>
        <w:rPr>
          <w:rFonts w:hint="eastAsia" w:ascii="Times New Roman" w:hAnsi="Times New Roman" w:eastAsia="仿宋_GB2312"/>
          <w:sz w:val="32"/>
        </w:rPr>
        <w:t>。</w:t>
      </w:r>
    </w:p>
    <w:p>
      <w:pPr>
        <w:widowControl/>
        <w:ind w:firstLine="640" w:firstLineChars="200"/>
        <w:jc w:val="left"/>
        <w:rPr>
          <w:rFonts w:ascii="Times New Roman" w:hAnsi="Times New Roman" w:eastAsia="仿宋_GB2312"/>
          <w:color w:val="000000"/>
          <w:sz w:val="32"/>
        </w:rPr>
      </w:pPr>
    </w:p>
    <w:p>
      <w:pPr>
        <w:widowControl/>
        <w:jc w:val="center"/>
        <w:outlineLvl w:val="0"/>
        <w:rPr>
          <w:rFonts w:hint="eastAsia" w:ascii="Times New Roman" w:hAnsi="Times New Roman" w:eastAsia="仿宋_GB2312"/>
          <w:b w:val="0"/>
          <w:color w:val="000000"/>
          <w:kern w:val="0"/>
          <w:sz w:val="36"/>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pPr>
        <w:widowControl/>
        <w:jc w:val="center"/>
        <w:outlineLvl w:val="0"/>
        <w:rPr>
          <w:rFonts w:hint="eastAsia" w:ascii="黑体" w:hAnsi="黑体" w:eastAsia="黑体" w:cs="黑体"/>
          <w:color w:val="000000"/>
          <w:sz w:val="32"/>
          <w:szCs w:val="32"/>
        </w:rPr>
      </w:pPr>
      <w:r>
        <w:rPr>
          <w:rFonts w:hint="eastAsia" w:ascii="黑体" w:hAnsi="黑体" w:eastAsia="黑体" w:cs="黑体"/>
          <w:b w:val="0"/>
          <w:color w:val="000000"/>
          <w:sz w:val="32"/>
          <w:szCs w:val="32"/>
        </w:rPr>
        <w:t>企业基本信息表</w:t>
      </w:r>
    </w:p>
    <w:tbl>
      <w:tblPr>
        <w:tblStyle w:val="15"/>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组织机构代码</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邮编</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法定代表人</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联系部门</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联系人</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联系电话</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传真</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手机</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电子邮箱</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内资（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国有</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集体</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民营）</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中外合资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港澳台</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□钢铁 □炼焦 □石油炼制 □乙烯 □氯碱 □氮肥□现代煤化工 □纺织染整 □化纤长丝织造 □造纸 □啤酒 □</w:t>
            </w:r>
            <w:r>
              <w:rPr>
                <w:rFonts w:hint="eastAsia" w:eastAsia="仿宋_GB2312" w:cs="仿宋_GB2312"/>
                <w:color w:val="000000"/>
                <w:sz w:val="24"/>
                <w:lang w:val="en-US" w:eastAsia="zh-CN"/>
              </w:rPr>
              <w:t>发酵</w:t>
            </w:r>
            <w:r>
              <w:rPr>
                <w:rFonts w:hint="eastAsia" w:ascii="Times New Roman" w:hAnsi="Times New Roman" w:eastAsia="仿宋_GB2312" w:cs="仿宋_GB2312"/>
                <w:color w:val="000000"/>
                <w:sz w:val="24"/>
              </w:rPr>
              <w:t xml:space="preserve"> □氧化铝 □电解铝 □多晶硅 □船舶</w:t>
            </w:r>
            <w:r>
              <w:rPr>
                <w:rFonts w:hint="eastAsia" w:eastAsia="仿宋_GB2312" w:cs="仿宋_GB2312"/>
                <w:color w:val="000000"/>
                <w:sz w:val="24"/>
                <w:lang w:eastAsia="zh-CN"/>
              </w:rPr>
              <w:t>制造</w:t>
            </w:r>
            <w:r>
              <w:rPr>
                <w:rFonts w:hint="eastAsia" w:ascii="Times New Roman" w:hAnsi="Times New Roman" w:eastAsia="仿宋_GB2312" w:cs="仿宋_GB2312"/>
                <w:color w:val="000000"/>
                <w:sz w:val="24"/>
              </w:rPr>
              <w:t xml:space="preserve"> □铁矿采选</w:t>
            </w:r>
            <w:r>
              <w:rPr>
                <w:rFonts w:hint="eastAsia" w:eastAsia="仿宋_GB2312" w:cs="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平板玻璃</w:t>
            </w:r>
            <w:r>
              <w:rPr>
                <w:rFonts w:hint="eastAsia" w:eastAsia="仿宋_GB2312" w:cs="仿宋_GB2312"/>
                <w:color w:val="000000"/>
                <w:sz w:val="24"/>
                <w:lang w:eastAsia="zh-CN"/>
              </w:rPr>
              <w:t xml:space="preserve"> </w:t>
            </w:r>
            <w:r>
              <w:rPr>
                <w:rFonts w:hint="eastAsia" w:eastAsia="仿宋_GB2312" w:cs="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水泥</w:t>
            </w:r>
            <w:r>
              <w:rPr>
                <w:rFonts w:hint="eastAsia" w:eastAsia="仿宋_GB2312" w:cs="仿宋_GB2312"/>
                <w:color w:val="000000"/>
                <w:sz w:val="24"/>
                <w:lang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铅冶炼</w:t>
            </w:r>
            <w:r>
              <w:rPr>
                <w:rFonts w:hint="eastAsia" w:eastAsia="仿宋_GB2312" w:cs="仿宋_GB2312"/>
                <w:color w:val="000000"/>
                <w:sz w:val="24"/>
                <w:lang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锌冶炼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lang w:val="en"/>
              </w:rPr>
            </w:pPr>
            <w:r>
              <w:rPr>
                <w:rFonts w:ascii="Times New Roman" w:hAnsi="Times New Roman" w:eastAsia="仿宋_GB2312"/>
                <w:color w:val="000000"/>
                <w:sz w:val="24"/>
                <w:lang w:val="en"/>
              </w:rPr>
              <w:t>202</w:t>
            </w:r>
            <w:r>
              <w:rPr>
                <w:rFonts w:hint="eastAsia" w:eastAsia="仿宋_GB2312"/>
                <w:color w:val="000000"/>
                <w:sz w:val="24"/>
                <w:lang w:val="en-US" w:eastAsia="zh-CN"/>
              </w:rPr>
              <w:t>3</w:t>
            </w:r>
            <w:r>
              <w:rPr>
                <w:rFonts w:ascii="Times New Roman" w:hAnsi="Times New Roman" w:eastAsia="仿宋_GB2312"/>
                <w:color w:val="000000"/>
                <w:sz w:val="24"/>
                <w:lang w:val="en"/>
              </w:rPr>
              <w:t>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年取水量（立方米）</w:t>
            </w:r>
          </w:p>
        </w:tc>
        <w:tc>
          <w:tcPr>
            <w:tcW w:w="2440" w:type="dxa"/>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c>
          <w:tcPr>
            <w:tcW w:w="2440" w:type="dxa"/>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近三年企业</w:t>
            </w:r>
            <w:r>
              <w:rPr>
                <w:rFonts w:hint="eastAsia" w:ascii="Times New Roman" w:hAnsi="Times New Roman" w:eastAsia="仿宋_GB2312"/>
                <w:color w:val="000000"/>
                <w:sz w:val="24"/>
                <w:lang w:eastAsia="zh-CN"/>
              </w:rPr>
              <w:t>主要水效</w:t>
            </w:r>
            <w:r>
              <w:rPr>
                <w:rFonts w:ascii="Times New Roman" w:hAnsi="Times New Roman" w:eastAsia="仿宋_GB2312"/>
                <w:color w:val="000000"/>
                <w:sz w:val="24"/>
              </w:rPr>
              <w:t>指标（请注明单位）</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年份</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w:t>
            </w:r>
            <w:r>
              <w:rPr>
                <w:rFonts w:hint="eastAsia" w:eastAsia="仿宋_GB2312"/>
                <w:color w:val="000000"/>
                <w:sz w:val="24"/>
                <w:lang w:val="en-US" w:eastAsia="zh-CN"/>
              </w:rPr>
              <w:t>21</w:t>
            </w:r>
            <w:r>
              <w:rPr>
                <w:rFonts w:ascii="Times New Roman" w:hAnsi="Times New Roman" w:eastAsia="仿宋_GB2312"/>
                <w:color w:val="000000"/>
                <w:sz w:val="24"/>
              </w:rPr>
              <w:t>年</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2</w:t>
            </w:r>
            <w:r>
              <w:rPr>
                <w:rFonts w:ascii="Times New Roman" w:hAnsi="Times New Roman" w:eastAsia="仿宋_GB2312"/>
                <w:color w:val="000000"/>
                <w:sz w:val="24"/>
              </w:rPr>
              <w:t>年</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lang w:eastAsia="zh-CN"/>
              </w:rPr>
              <w:t>主要产品</w:t>
            </w:r>
            <w:r>
              <w:rPr>
                <w:rFonts w:ascii="Times New Roman" w:hAnsi="Times New Roman" w:eastAsia="仿宋_GB2312"/>
                <w:color w:val="000000"/>
                <w:sz w:val="24"/>
              </w:rPr>
              <w:t>单位取水量</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水重复利用率</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before="157" w:beforeLines="50" w:line="320" w:lineRule="exact"/>
              <w:rPr>
                <w:rFonts w:ascii="Times New Roman" w:hAnsi="Times New Roman" w:eastAsia="仿宋_GB2312"/>
                <w:color w:val="000000"/>
                <w:sz w:val="24"/>
              </w:rPr>
            </w:pPr>
            <w:r>
              <w:rPr>
                <w:rFonts w:ascii="Times New Roman" w:hAnsi="Times New Roman" w:eastAsia="仿宋_GB2312"/>
                <w:color w:val="000000"/>
                <w:sz w:val="24"/>
              </w:rPr>
              <w:t>材料真实性承诺：</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我单位郑重承诺：本次申报国家水效领跑者所提交的相关数据和信息均真实、有效，近三年未发生重大安全、环境事故</w:t>
            </w:r>
            <w:r>
              <w:rPr>
                <w:rFonts w:hint="eastAsia" w:ascii="Times New Roman" w:hAnsi="Times New Roman" w:eastAsia="仿宋_GB2312"/>
                <w:color w:val="000000"/>
                <w:sz w:val="24"/>
              </w:rPr>
              <w:t>或</w:t>
            </w:r>
            <w:r>
              <w:rPr>
                <w:rFonts w:ascii="Times New Roman" w:hAnsi="Times New Roman" w:eastAsia="仿宋_GB2312"/>
                <w:color w:val="000000"/>
                <w:sz w:val="24"/>
              </w:rPr>
              <w:t>质量违法行为，愿接受并积极配合主管部门的监督抽查和核验。如有违反，愿承担由此产生的相应责任。</w:t>
            </w:r>
          </w:p>
          <w:p>
            <w:pPr>
              <w:pStyle w:val="2"/>
            </w:pPr>
          </w:p>
          <w:p>
            <w:pPr>
              <w:spacing w:line="320" w:lineRule="exact"/>
              <w:ind w:firstLine="4800" w:firstLineChars="2000"/>
              <w:rPr>
                <w:rFonts w:ascii="Times New Roman" w:hAnsi="Times New Roman" w:eastAsia="仿宋_GB2312"/>
                <w:color w:val="000000"/>
                <w:sz w:val="24"/>
              </w:rPr>
            </w:pPr>
            <w:r>
              <w:rPr>
                <w:rFonts w:ascii="Times New Roman" w:hAnsi="Times New Roman" w:eastAsia="仿宋_GB2312"/>
                <w:color w:val="000000"/>
                <w:sz w:val="24"/>
              </w:rPr>
              <w:t>单位负责人（签字）：</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（申报单位公章）</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bl>
    <w:p>
      <w:pPr>
        <w:widowControl/>
        <w:ind w:firstLine="0"/>
        <w:jc w:val="center"/>
        <w:outlineLvl w:val="0"/>
        <w:rPr>
          <w:rFonts w:ascii="Times New Roman" w:hAnsi="Times New Roman" w:eastAsia="仿宋_GB2312"/>
          <w:b w:val="0"/>
          <w:color w:val="000000"/>
          <w:sz w:val="36"/>
        </w:rPr>
      </w:pPr>
      <w:r>
        <w:rPr>
          <w:rFonts w:ascii="Times New Roman" w:hAnsi="Times New Roman" w:eastAsia="仿宋_GB2312"/>
          <w:color w:val="000000"/>
          <w:kern w:val="0"/>
        </w:rPr>
        <w:br w:type="page"/>
      </w:r>
      <w:r>
        <w:rPr>
          <w:rFonts w:hint="eastAsia" w:ascii="黑体" w:hAnsi="黑体" w:eastAsia="黑体" w:cs="黑体"/>
          <w:b w:val="0"/>
          <w:color w:val="000000"/>
          <w:sz w:val="36"/>
        </w:rPr>
        <w:t>企业水效分析报告（格式）</w:t>
      </w:r>
    </w:p>
    <w:p>
      <w:pPr>
        <w:widowControl/>
        <w:ind w:firstLine="723"/>
        <w:jc w:val="left"/>
        <w:rPr>
          <w:rFonts w:ascii="Times New Roman" w:hAnsi="Times New Roman" w:eastAsia="仿宋_GB2312"/>
          <w:sz w:val="20"/>
        </w:rPr>
      </w:pP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一、基本情况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（一）企业基本情况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1.企业规模：包括企业地理位置（流域）、近三年的生产规模、产品结构、产量、产值、组织结构、员工人数等；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2.生产情况：包括企业生产的主要原材料消耗、能源消耗、主要用水环节和用水设备等；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3.取用水情况：包括企业的取水水源（常规水源、非常规水源）、取水量、水重复利用率、排水量、用水计量设备配备、用水计量、水质数据监测等情况。</w:t>
      </w:r>
    </w:p>
    <w:p>
      <w:pPr>
        <w:ind w:firstLine="640" w:firstLineChars="200"/>
        <w:outlineLvl w:val="0"/>
        <w:rPr>
          <w:rFonts w:hint="eastAsia" w:ascii="Times New Roman" w:hAnsi="Times New Roman" w:eastAsia="仿宋_GB2312"/>
          <w:color w:val="000000"/>
          <w:sz w:val="32"/>
          <w:lang w:val="en-US" w:eastAsia="zh-CN"/>
        </w:rPr>
      </w:pPr>
      <w:r>
        <w:rPr>
          <w:rFonts w:ascii="Times New Roman" w:hAnsi="Times New Roman" w:eastAsia="仿宋_GB2312"/>
          <w:color w:val="000000"/>
          <w:sz w:val="32"/>
        </w:rPr>
        <w:t>（二）申请水效领跑者的相关生产情况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二、工艺及技术水平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（一）主要工艺流程</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（二）主要用水设备规模及其技术水平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包括企业循环水系统、冷却塔、换热器、锅炉、制冷、制氧、软化处理、污水处理等主要用水设备的设备配置、服务区域、运行情况、处理能力等，以及主要用水设备的技术水平情况。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三、取用水情况及水效指标</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（一）主要用水工序、用水设备的取用水情况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包括企业生产主要用水工序、用水设备的取水量、排水量、水质情况等。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（二）近三年单位产品取水量及水效指标</w:t>
      </w:r>
    </w:p>
    <w:p>
      <w:pPr>
        <w:ind w:firstLine="640" w:firstLineChars="200"/>
        <w:outlineLvl w:val="0"/>
        <w:rPr>
          <w:rFonts w:hint="eastAsia" w:ascii="Times New Roman" w:hAnsi="Times New Roman" w:eastAsia="仿宋_GB2312"/>
          <w:color w:val="000000"/>
          <w:sz w:val="32"/>
          <w:lang w:eastAsia="zh-CN"/>
        </w:rPr>
      </w:pPr>
      <w:r>
        <w:rPr>
          <w:rFonts w:ascii="Times New Roman" w:hAnsi="Times New Roman" w:eastAsia="仿宋_GB2312"/>
          <w:color w:val="000000"/>
          <w:sz w:val="32"/>
        </w:rPr>
        <w:t>水效指标主要包括单位产品取水量、重复利用率等。具体指标要求及报表格式依据以下标准</w:t>
      </w:r>
      <w:r>
        <w:rPr>
          <w:rFonts w:hint="eastAsia" w:eastAsia="仿宋_GB2312"/>
          <w:color w:val="000000"/>
          <w:sz w:val="32"/>
          <w:lang w:eastAsia="zh-CN"/>
        </w:rPr>
        <w:t>：</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GB/T 21534-20</w:t>
      </w:r>
      <w:r>
        <w:rPr>
          <w:rFonts w:hint="eastAsia" w:eastAsia="仿宋_GB2312"/>
          <w:color w:val="000000"/>
          <w:sz w:val="32"/>
          <w:lang w:val="en-US" w:eastAsia="zh-CN"/>
        </w:rPr>
        <w:t>21</w:t>
      </w:r>
      <w:r>
        <w:rPr>
          <w:rFonts w:ascii="Times New Roman" w:hAnsi="Times New Roman" w:eastAsia="仿宋_GB2312"/>
          <w:color w:val="000000"/>
          <w:sz w:val="32"/>
        </w:rPr>
        <w:t xml:space="preserve"> </w:t>
      </w:r>
      <w:r>
        <w:rPr>
          <w:rFonts w:hint="eastAsia" w:eastAsia="仿宋_GB2312"/>
          <w:color w:val="000000"/>
          <w:sz w:val="32"/>
          <w:lang w:eastAsia="zh-CN"/>
        </w:rPr>
        <w:t>节约</w:t>
      </w:r>
      <w:r>
        <w:rPr>
          <w:rFonts w:ascii="Times New Roman" w:hAnsi="Times New Roman" w:eastAsia="仿宋_GB2312"/>
          <w:color w:val="000000"/>
          <w:sz w:val="32"/>
        </w:rPr>
        <w:t>用水 术语</w:t>
      </w:r>
    </w:p>
    <w:p>
      <w:pPr>
        <w:ind w:firstLine="635"/>
        <w:outlineLvl w:val="0"/>
        <w:rPr>
          <w:rFonts w:ascii="Times New Roman" w:hAnsi="Times New Roman" w:eastAsia="仿宋_GB2312"/>
          <w:color w:val="000000"/>
          <w:spacing w:val="-6"/>
          <w:sz w:val="32"/>
        </w:rPr>
      </w:pPr>
      <w:r>
        <w:rPr>
          <w:rFonts w:ascii="Times New Roman" w:hAnsi="Times New Roman" w:eastAsia="仿宋_GB2312"/>
          <w:color w:val="000000"/>
          <w:sz w:val="32"/>
        </w:rPr>
        <w:t>GB</w:t>
      </w:r>
      <w:r>
        <w:rPr>
          <w:rFonts w:hint="default" w:eastAsia="仿宋_GB2312"/>
          <w:color w:val="000000"/>
          <w:sz w:val="32"/>
          <w:lang w:val="en-US" w:eastAsia="zh-CN"/>
        </w:rPr>
        <w:t>/T</w:t>
      </w:r>
      <w:r>
        <w:rPr>
          <w:rFonts w:ascii="Times New Roman" w:hAnsi="Times New Roman" w:eastAsia="仿宋_GB2312"/>
          <w:color w:val="000000"/>
          <w:sz w:val="32"/>
        </w:rPr>
        <w:t xml:space="preserve"> 24789-20</w:t>
      </w:r>
      <w:r>
        <w:rPr>
          <w:rFonts w:hint="default" w:eastAsia="仿宋_GB2312"/>
          <w:color w:val="000000"/>
          <w:sz w:val="32"/>
          <w:lang w:val="en-US" w:eastAsia="zh-CN"/>
        </w:rPr>
        <w:t>22</w:t>
      </w:r>
      <w:r>
        <w:rPr>
          <w:rFonts w:ascii="Times New Roman" w:hAnsi="Times New Roman" w:eastAsia="仿宋_GB2312"/>
          <w:color w:val="000000"/>
          <w:spacing w:val="-28"/>
          <w:sz w:val="32"/>
        </w:rPr>
        <w:t xml:space="preserve"> </w:t>
      </w:r>
      <w:r>
        <w:rPr>
          <w:rFonts w:hint="eastAsia" w:eastAsia="仿宋_GB2312"/>
          <w:color w:val="000000"/>
          <w:spacing w:val="-28"/>
          <w:sz w:val="32"/>
          <w:lang w:val="en-US" w:eastAsia="zh-CN"/>
        </w:rPr>
        <w:t xml:space="preserve"> </w:t>
      </w:r>
      <w:r>
        <w:rPr>
          <w:rFonts w:ascii="Times New Roman" w:hAnsi="Times New Roman" w:eastAsia="仿宋_GB2312"/>
          <w:color w:val="000000"/>
          <w:spacing w:val="-6"/>
          <w:sz w:val="32"/>
        </w:rPr>
        <w:t>用水单位水计量器具配备和管理通则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 xml:space="preserve">GB/T 7119-2018 </w:t>
      </w:r>
      <w:r>
        <w:rPr>
          <w:rFonts w:hint="eastAsia" w:eastAsia="仿宋_GB2312"/>
          <w:color w:val="000000"/>
          <w:sz w:val="32"/>
          <w:lang w:val="en-US" w:eastAsia="zh-CN"/>
        </w:rPr>
        <w:t xml:space="preserve"> </w:t>
      </w:r>
      <w:r>
        <w:rPr>
          <w:rFonts w:ascii="Times New Roman" w:hAnsi="Times New Roman" w:eastAsia="仿宋_GB2312"/>
          <w:color w:val="000000"/>
          <w:sz w:val="32"/>
        </w:rPr>
        <w:t>节水型企业评价导则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26924-2011 节水型企业 钢铁行业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34610-2017 节水型企业 炼焦行业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26926-2011 节水型企业 石油炼制行业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32164-2015 节水型企业 乙烯行业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37271-2018 节水型企业 氯碱行业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36895-2018 节水型企业 氮肥行业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37759-2019 节水型企业 现代煤化工行业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26923-2011 节水型企业 纺织染整行业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37832-2019 节水型企业 化纤长丝织造行业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26927-20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造纸行业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35576-2017 节水型企业 啤酒行业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32165-20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w:t>
      </w:r>
      <w:r>
        <w:rPr>
          <w:rFonts w:hint="eastAsia" w:eastAsia="仿宋_GB2312"/>
          <w:color w:val="000000"/>
          <w:sz w:val="32"/>
          <w:lang w:eastAsia="zh-CN"/>
        </w:rPr>
        <w:t>发酵</w:t>
      </w:r>
      <w:r>
        <w:rPr>
          <w:rFonts w:ascii="Times New Roman" w:hAnsi="Times New Roman" w:eastAsia="仿宋_GB2312"/>
          <w:color w:val="000000"/>
          <w:sz w:val="32"/>
        </w:rPr>
        <w:t>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33232-2016 节水型企业 氧化铝行业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33233-20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电解铝行业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38907-2020</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多晶硅行业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37332-2019</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船舶行业</w:t>
      </w:r>
      <w:r>
        <w:rPr>
          <w:rFonts w:hint="eastAsia" w:ascii="Times New Roman" w:hAnsi="Times New Roman" w:eastAsia="仿宋_GB2312"/>
          <w:color w:val="000000"/>
          <w:sz w:val="32"/>
        </w:rPr>
        <w:t xml:space="preserve"> </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37608-2017节水型企业 铁矿采选行业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2695-2022  节水型企业 平板玻璃行业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2694-2022  节水型企业 水泥行业</w:t>
      </w:r>
    </w:p>
    <w:p>
      <w:pPr>
        <w:ind w:firstLine="640" w:firstLineChars="0"/>
        <w:jc w:val="left"/>
        <w:outlineLvl w:val="0"/>
        <w:rPr>
          <w:rFonts w:hint="default" w:eastAsia="仿宋_GB2312"/>
          <w:color w:val="000000"/>
          <w:sz w:val="32"/>
          <w:szCs w:val="22"/>
          <w:lang w:val="en-US" w:eastAsia="zh-CN"/>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1587-2022  节水型企业 铅冶炼行业</w:t>
      </w:r>
    </w:p>
    <w:p>
      <w:pPr>
        <w:ind w:firstLine="640" w:firstLineChars="0"/>
        <w:outlineLvl w:val="0"/>
        <w:rPr>
          <w:rFonts w:ascii="Times New Roman" w:hAnsi="Times New Roman" w:eastAsia="仿宋_GB2312"/>
          <w:color w:val="000000"/>
          <w:sz w:val="32"/>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2694-2022  节水型企业 锌冶炼行业</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四、水效提升经验</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（一）企业节水管理经验。介绍企业在节水方面采取的管理措施、方法</w:t>
      </w:r>
      <w:r>
        <w:rPr>
          <w:rFonts w:hint="eastAsia" w:ascii="Times New Roman" w:hAnsi="Times New Roman" w:eastAsia="仿宋_GB2312"/>
          <w:color w:val="000000"/>
          <w:sz w:val="32"/>
        </w:rPr>
        <w:t>、</w:t>
      </w:r>
      <w:r>
        <w:rPr>
          <w:rFonts w:ascii="Times New Roman" w:hAnsi="Times New Roman" w:eastAsia="仿宋_GB2312"/>
          <w:color w:val="000000"/>
          <w:sz w:val="32"/>
        </w:rPr>
        <w:t>制度以及取得的效果。</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（二）企业节水技术改造经验。介绍企业实施的重大节水技术改造工程，包括种类、数量以及因此取得的节水效益</w:t>
      </w:r>
      <w:r>
        <w:rPr>
          <w:rFonts w:hint="eastAsia" w:ascii="Times New Roman" w:hAnsi="Times New Roman" w:eastAsia="仿宋_GB2312"/>
          <w:color w:val="000000"/>
          <w:sz w:val="32"/>
        </w:rPr>
        <w:t>；</w:t>
      </w:r>
      <w:r>
        <w:rPr>
          <w:rFonts w:ascii="Times New Roman" w:hAnsi="Times New Roman" w:eastAsia="仿宋_GB2312"/>
          <w:color w:val="000000"/>
          <w:sz w:val="32"/>
        </w:rPr>
        <w:t>采用的先进节水技术、装备和产品，采取的优化运行、水重复利用等方面的节水措施以及取得的节水效益。</w:t>
      </w:r>
    </w:p>
    <w:p>
      <w:pPr>
        <w:ind w:firstLine="640" w:firstLineChars="200"/>
        <w:rPr>
          <w:rFonts w:ascii="Times New Roman" w:hAnsi="Times New Roman" w:eastAsia="黑体"/>
          <w:color w:val="000000"/>
          <w:sz w:val="32"/>
        </w:rPr>
      </w:pPr>
      <w:r>
        <w:rPr>
          <w:rFonts w:ascii="Times New Roman" w:hAnsi="Times New Roman" w:eastAsia="黑体"/>
          <w:color w:val="000000"/>
          <w:sz w:val="32"/>
        </w:rPr>
        <w:t>五、未来三年拟采取的主要水效提升措施</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未来三年拟采取的主要水效提升措施，如节水技术改造项目（如</w:t>
      </w:r>
      <w:r>
        <w:rPr>
          <w:rFonts w:hint="eastAsia" w:ascii="Times New Roman" w:hAnsi="Times New Roman" w:eastAsia="仿宋_GB2312"/>
          <w:color w:val="000000"/>
          <w:sz w:val="32"/>
          <w:lang w:eastAsia="zh-CN"/>
        </w:rPr>
        <w:t>废水循环</w:t>
      </w:r>
      <w:r>
        <w:rPr>
          <w:rFonts w:ascii="Times New Roman" w:hAnsi="Times New Roman" w:eastAsia="仿宋_GB2312"/>
          <w:color w:val="000000"/>
          <w:sz w:val="32"/>
        </w:rPr>
        <w:t>利用、非常规水利用等）、节水管理措施（如用水管理负责人制度、合同节水管理等）。请分项简述建设内容、预期投资和预期节水效果。</w:t>
      </w:r>
    </w:p>
    <w:p>
      <w:pPr>
        <w:ind w:firstLine="640" w:firstLineChars="200"/>
        <w:rPr>
          <w:rFonts w:ascii="Times New Roman" w:hAnsi="Times New Roman" w:eastAsia="黑体"/>
          <w:color w:val="000000"/>
          <w:sz w:val="32"/>
        </w:rPr>
      </w:pPr>
      <w:r>
        <w:rPr>
          <w:rFonts w:ascii="Times New Roman" w:hAnsi="Times New Roman" w:eastAsia="黑体"/>
          <w:color w:val="000000"/>
          <w:sz w:val="32"/>
        </w:rPr>
        <w:t>六、证明材料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此部分包括但不限于以下材料：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（一）企业营业执照复印件，企业组织机构代码证复印件</w:t>
      </w:r>
      <w:r>
        <w:rPr>
          <w:rFonts w:hint="eastAsia" w:ascii="Times New Roman" w:hAnsi="Times New Roman" w:eastAsia="仿宋_GB2312"/>
          <w:color w:val="000000"/>
          <w:sz w:val="32"/>
        </w:rPr>
        <w:t>（适用时）</w:t>
      </w:r>
      <w:r>
        <w:rPr>
          <w:rFonts w:ascii="Times New Roman" w:hAnsi="Times New Roman" w:eastAsia="仿宋_GB2312"/>
          <w:color w:val="000000"/>
          <w:sz w:val="32"/>
        </w:rPr>
        <w:t>；</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（二）企业取水相关证明材料（取水许可证或用水合同协议</w:t>
      </w:r>
      <w:r>
        <w:rPr>
          <w:rFonts w:hint="eastAsia" w:eastAsia="仿宋_GB2312"/>
          <w:color w:val="000000"/>
          <w:sz w:val="32"/>
          <w:lang w:val="en-US" w:eastAsia="zh-CN"/>
        </w:rPr>
        <w:t>，</w:t>
      </w:r>
      <w:r>
        <w:rPr>
          <w:rFonts w:hint="eastAsia" w:eastAsia="仿宋_GB2312"/>
          <w:color w:val="000000"/>
          <w:sz w:val="32"/>
          <w:lang w:eastAsia="zh-CN"/>
        </w:rPr>
        <w:t>近三年无超计划用水、超许可取水行为</w:t>
      </w:r>
      <w:r>
        <w:rPr>
          <w:rFonts w:ascii="Times New Roman" w:hAnsi="Times New Roman" w:eastAsia="仿宋_GB2312"/>
          <w:color w:val="000000"/>
          <w:sz w:val="32"/>
        </w:rPr>
        <w:t>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（三）企业用水相关材料（企业用水记录、统计报表、</w:t>
      </w:r>
      <w:r>
        <w:rPr>
          <w:rFonts w:hint="eastAsia" w:eastAsia="仿宋_GB2312"/>
          <w:color w:val="000000"/>
          <w:sz w:val="32"/>
          <w:lang w:eastAsia="zh-CN"/>
        </w:rPr>
        <w:t>水资源费税证明、水量核定书、</w:t>
      </w:r>
      <w:r>
        <w:rPr>
          <w:rFonts w:ascii="Times New Roman" w:hAnsi="Times New Roman" w:eastAsia="仿宋_GB2312"/>
          <w:color w:val="000000"/>
          <w:sz w:val="32"/>
        </w:rPr>
        <w:t>费用账单、水计量器具台账、供排水管网图、维修及校验记录等）；</w:t>
      </w:r>
    </w:p>
    <w:p>
      <w:pPr>
        <w:ind w:firstLine="640" w:firstLineChars="200"/>
        <w:rPr>
          <w:rFonts w:hint="eastAsia" w:ascii="Times New Roman" w:hAnsi="Times New Roman" w:eastAsia="仿宋_GB2312"/>
          <w:color w:val="000000"/>
          <w:sz w:val="32"/>
          <w:lang w:eastAsia="zh-CN"/>
        </w:rPr>
      </w:pPr>
      <w:r>
        <w:rPr>
          <w:rFonts w:hint="eastAsia" w:ascii="Times New Roman" w:hAnsi="Times New Roman" w:eastAsia="仿宋_GB2312"/>
          <w:color w:val="000000"/>
          <w:sz w:val="32"/>
          <w:lang w:eastAsia="zh-CN"/>
        </w:rPr>
        <w:t>（四）企业废水达标排放证明材料（地方排污许可证或地方环保证明）；</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五</w:t>
      </w:r>
      <w:r>
        <w:rPr>
          <w:rFonts w:ascii="Times New Roman" w:hAnsi="Times New Roman" w:eastAsia="仿宋_GB2312"/>
          <w:color w:val="000000"/>
          <w:sz w:val="32"/>
        </w:rPr>
        <w:t>）企业用水设备相关材料（用水设备</w:t>
      </w:r>
      <w:r>
        <w:rPr>
          <w:rFonts w:hint="eastAsia" w:eastAsia="仿宋_GB2312"/>
          <w:color w:val="000000"/>
          <w:sz w:val="32"/>
          <w:lang w:eastAsia="zh-CN"/>
        </w:rPr>
        <w:t>设计图纸、设备配备情况</w:t>
      </w:r>
      <w:r>
        <w:rPr>
          <w:rFonts w:ascii="Times New Roman" w:hAnsi="Times New Roman" w:eastAsia="仿宋_GB2312"/>
          <w:color w:val="000000"/>
          <w:sz w:val="32"/>
        </w:rPr>
        <w:t>、运行记录、节水设施现场图片资料等）；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六</w:t>
      </w:r>
      <w:r>
        <w:rPr>
          <w:rFonts w:ascii="Times New Roman" w:hAnsi="Times New Roman" w:eastAsia="仿宋_GB2312"/>
          <w:color w:val="000000"/>
          <w:sz w:val="32"/>
        </w:rPr>
        <w:t>）企业节水管理相关材料（水平衡测试报告、节水管理制度文件、节水规划和年度节水计划文件、节水统计报表等）。</w:t>
      </w:r>
    </w:p>
    <w:p>
      <w:pPr>
        <w:ind w:firstLine="640" w:firstLineChars="200"/>
        <w:rPr>
          <w:rFonts w:ascii="Times New Roman" w:hAnsi="Times New Roman" w:eastAsia="仿宋_GB2312"/>
          <w:color w:val="000000"/>
          <w:sz w:val="32"/>
        </w:rPr>
      </w:pPr>
    </w:p>
    <w:p>
      <w:pPr>
        <w:ind w:firstLine="640" w:firstLineChars="200"/>
        <w:rPr>
          <w:rFonts w:ascii="Times New Roman" w:hAnsi="Times New Roman" w:eastAsia="仿宋_GB2312"/>
          <w:color w:val="000000"/>
          <w:sz w:val="32"/>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p>
    <w:p>
      <w:pPr>
        <w:widowControl/>
        <w:ind w:firstLine="0"/>
        <w:jc w:val="center"/>
        <w:outlineLvl w:val="0"/>
        <w:rPr>
          <w:rFonts w:hint="eastAsia" w:ascii="黑体" w:hAnsi="黑体" w:eastAsia="黑体" w:cs="黑体"/>
          <w:b w:val="0"/>
          <w:color w:val="000000"/>
          <w:sz w:val="36"/>
        </w:rPr>
      </w:pPr>
      <w:r>
        <w:rPr>
          <w:rFonts w:hint="eastAsia" w:ascii="黑体" w:hAnsi="黑体" w:eastAsia="黑体" w:cs="黑体"/>
          <w:b w:val="0"/>
          <w:color w:val="000000"/>
          <w:sz w:val="36"/>
        </w:rPr>
        <w:t>企业自评表</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一、自评总则</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（一）水效领跑者企业自评</w:t>
      </w:r>
      <w:r>
        <w:rPr>
          <w:rFonts w:hint="eastAsia" w:ascii="Times New Roman" w:hAnsi="Times New Roman" w:eastAsia="仿宋_GB2312"/>
          <w:bCs/>
          <w:color w:val="000000"/>
          <w:sz w:val="32"/>
          <w:szCs w:val="32"/>
        </w:rPr>
        <w:t>指标</w:t>
      </w:r>
      <w:r>
        <w:rPr>
          <w:rFonts w:ascii="Times New Roman" w:hAnsi="Times New Roman" w:eastAsia="仿宋_GB2312"/>
          <w:bCs/>
          <w:color w:val="000000"/>
          <w:sz w:val="32"/>
          <w:szCs w:val="32"/>
        </w:rPr>
        <w:t>分为一票否决指标和量化指标</w:t>
      </w:r>
      <w:r>
        <w:rPr>
          <w:rFonts w:hint="eastAsia" w:ascii="Times New Roman" w:hAnsi="Times New Roman" w:eastAsia="仿宋_GB2312"/>
          <w:bCs/>
          <w:color w:val="000000"/>
          <w:sz w:val="32"/>
          <w:szCs w:val="32"/>
        </w:rPr>
        <w:t>，量化指标又分管理指标和技术指标。</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（二）一票否决指标如有不满足项，取消该企业水效领跑者评选资格，不参加后续量化</w:t>
      </w:r>
      <w:r>
        <w:rPr>
          <w:rFonts w:hint="eastAsia" w:ascii="Times New Roman" w:hAnsi="Times New Roman" w:eastAsia="仿宋_GB2312"/>
          <w:bCs/>
          <w:color w:val="000000"/>
          <w:sz w:val="32"/>
          <w:szCs w:val="32"/>
        </w:rPr>
        <w:t>指标评价</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（三）</w:t>
      </w:r>
      <w:r>
        <w:rPr>
          <w:rFonts w:hint="eastAsia" w:ascii="Times New Roman" w:hAnsi="Times New Roman" w:eastAsia="仿宋_GB2312"/>
          <w:bCs/>
          <w:color w:val="000000"/>
          <w:sz w:val="32"/>
          <w:szCs w:val="32"/>
        </w:rPr>
        <w:t>管理指标</w:t>
      </w:r>
      <w:r>
        <w:rPr>
          <w:rFonts w:hint="eastAsia" w:eastAsia="仿宋_GB2312"/>
          <w:bCs/>
          <w:color w:val="000000"/>
          <w:sz w:val="32"/>
          <w:szCs w:val="32"/>
          <w:lang w:eastAsia="zh-CN"/>
        </w:rPr>
        <w:t>满分</w:t>
      </w:r>
      <w:r>
        <w:rPr>
          <w:rFonts w:hint="eastAsia" w:eastAsia="仿宋_GB2312"/>
          <w:bCs/>
          <w:color w:val="000000"/>
          <w:sz w:val="32"/>
          <w:szCs w:val="32"/>
          <w:lang w:val="en-US" w:eastAsia="zh-CN"/>
        </w:rPr>
        <w:t>60分，另设加分项4分，扣分项3分。</w:t>
      </w:r>
      <w:r>
        <w:rPr>
          <w:rFonts w:ascii="Times New Roman" w:hAnsi="Times New Roman" w:eastAsia="仿宋_GB2312"/>
          <w:bCs/>
          <w:color w:val="000000"/>
          <w:sz w:val="32"/>
          <w:szCs w:val="32"/>
        </w:rPr>
        <w:t>管理指标得分须达到52分以上（含52分），且序号1、2、4、5四项评分</w:t>
      </w:r>
      <w:r>
        <w:rPr>
          <w:rFonts w:hint="eastAsia" w:eastAsia="仿宋_GB2312"/>
          <w:bCs/>
          <w:color w:val="000000"/>
          <w:sz w:val="32"/>
          <w:szCs w:val="32"/>
          <w:lang w:eastAsia="zh-CN"/>
        </w:rPr>
        <w:t>之和</w:t>
      </w:r>
      <w:r>
        <w:rPr>
          <w:rFonts w:ascii="Times New Roman" w:hAnsi="Times New Roman" w:eastAsia="仿宋_GB2312"/>
          <w:bCs/>
          <w:color w:val="000000"/>
          <w:sz w:val="32"/>
          <w:szCs w:val="32"/>
        </w:rPr>
        <w:t>不低于34分（含34分）</w:t>
      </w:r>
      <w:r>
        <w:rPr>
          <w:rFonts w:hint="eastAsia" w:ascii="Times New Roman" w:hAnsi="Times New Roman" w:eastAsia="仿宋_GB2312"/>
          <w:bCs/>
          <w:color w:val="000000"/>
          <w:sz w:val="32"/>
          <w:szCs w:val="32"/>
        </w:rPr>
        <w:t>。</w:t>
      </w:r>
    </w:p>
    <w:p>
      <w:pPr>
        <w:numPr>
          <w:ilvl w:val="0"/>
          <w:numId w:val="5"/>
        </w:num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技术指标采用上一年度计量或统计数据对各项指标进行赋值和评价，指标</w:t>
      </w:r>
      <w:r>
        <w:rPr>
          <w:rFonts w:hint="eastAsia" w:ascii="Times New Roman" w:hAnsi="Times New Roman" w:eastAsia="仿宋_GB2312"/>
          <w:bCs/>
          <w:color w:val="000000"/>
          <w:sz w:val="32"/>
          <w:szCs w:val="32"/>
        </w:rPr>
        <w:t>值</w:t>
      </w:r>
      <w:r>
        <w:rPr>
          <w:rFonts w:ascii="Times New Roman" w:hAnsi="Times New Roman" w:eastAsia="仿宋_GB2312"/>
          <w:bCs/>
          <w:color w:val="000000"/>
          <w:sz w:val="32"/>
          <w:szCs w:val="32"/>
        </w:rPr>
        <w:t>须达到表中最低限值。</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二、自评表</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（一）一票否决指标自评表见附表1，管理指标自评表见附表2</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技术指标自评表见附表3（表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至</w:t>
      </w: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3-21</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（二）自评表中列出证明材料索引，相关证明材料附后。</w:t>
      </w:r>
    </w:p>
    <w:p>
      <w:pPr>
        <w:spacing w:line="360" w:lineRule="auto"/>
        <w:textAlignment w:val="baseline"/>
        <w:rPr>
          <w:rFonts w:ascii="Times New Roman" w:hAnsi="Times New Roman" w:eastAsia="仿宋_GB2312"/>
          <w:bCs/>
          <w:color w:val="000000"/>
          <w:sz w:val="32"/>
          <w:szCs w:val="32"/>
        </w:rPr>
        <w:sectPr>
          <w:headerReference r:id="rId8" w:type="default"/>
          <w:pgSz w:w="11906" w:h="16838"/>
          <w:pgMar w:top="1440" w:right="1800" w:bottom="1440" w:left="1800" w:header="851" w:footer="992" w:gutter="0"/>
          <w:cols w:space="720" w:num="1"/>
          <w:docGrid w:type="lines" w:linePitch="312" w:charSpace="0"/>
        </w:sectPr>
      </w:pPr>
    </w:p>
    <w:p>
      <w:pPr>
        <w:spacing w:line="360" w:lineRule="auto"/>
        <w:textAlignment w:val="baseline"/>
        <w:rPr>
          <w:rFonts w:ascii="Times New Roman" w:hAnsi="Times New Roman" w:eastAsia="仿宋_GB2312"/>
          <w:color w:val="000000"/>
          <w:sz w:val="32"/>
          <w:szCs w:val="32"/>
        </w:rPr>
      </w:pPr>
      <w:r>
        <w:rPr>
          <w:rFonts w:hint="eastAsia" w:ascii="黑体" w:hAnsi="黑体" w:eastAsia="黑体" w:cs="黑体"/>
          <w:color w:val="000000"/>
          <w:sz w:val="32"/>
          <w:szCs w:val="32"/>
        </w:rPr>
        <w:t>附表1</w:t>
      </w:r>
    </w:p>
    <w:p>
      <w:pPr>
        <w:spacing w:before="156" w:before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一票否决指标自评表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序号</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评价指标</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评价情况</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有取水资源的合法手续</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000000"/>
                <w:sz w:val="22"/>
                <w:lang w:eastAsia="zh-CN"/>
              </w:rPr>
            </w:pPr>
            <w:r>
              <w:rPr>
                <w:rFonts w:hint="eastAsia" w:eastAsia="仿宋_GB2312"/>
                <w:color w:val="000000"/>
                <w:sz w:val="22"/>
                <w:lang w:eastAsia="zh-CN"/>
              </w:rPr>
              <w:t>近三年无超计划用水、超许可取水行为</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00"/>
                <w:sz w:val="22"/>
              </w:rPr>
            </w:pPr>
            <w:r>
              <w:rPr>
                <w:rFonts w:hint="eastAsia" w:eastAsia="仿宋_GB2312"/>
                <w:color w:val="000000"/>
                <w:sz w:val="22"/>
              </w:rPr>
              <w:t>近三年未发生安全（含网络安全、数据安全）、质量、环境污染等事故以及偷漏税等违法违规行为（以“信用中国”</w:t>
            </w:r>
            <w:r>
              <w:rPr>
                <w:rFonts w:hint="eastAsia" w:eastAsia="仿宋_GB2312"/>
                <w:color w:val="000000"/>
                <w:sz w:val="22"/>
                <w:lang w:eastAsia="zh-CN"/>
              </w:rPr>
              <w:t>网站</w:t>
            </w:r>
            <w:r>
              <w:rPr>
                <w:rFonts w:hint="eastAsia" w:eastAsia="仿宋_GB2312"/>
                <w:color w:val="000000"/>
                <w:sz w:val="22"/>
              </w:rPr>
              <w:t>和“国家企业信用信息公示系统”为准）</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val="en-US" w:eastAsia="zh-CN"/>
              </w:rPr>
            </w:pPr>
            <w:r>
              <w:rPr>
                <w:rFonts w:hint="default" w:ascii="Times New Roman" w:hAnsi="Times New Roman" w:eastAsia="仿宋_GB2312"/>
                <w:color w:val="000000"/>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00"/>
                <w:sz w:val="22"/>
              </w:rPr>
            </w:pPr>
            <w:r>
              <w:rPr>
                <w:rFonts w:ascii="Times New Roman" w:hAnsi="Times New Roman" w:eastAsia="仿宋_GB2312" w:cs="Times New Roman"/>
                <w:color w:val="000000"/>
                <w:kern w:val="2"/>
                <w:sz w:val="22"/>
                <w:szCs w:val="22"/>
              </w:rPr>
              <w:t>年用水量</w:t>
            </w:r>
            <w:r>
              <w:rPr>
                <w:rFonts w:hint="eastAsia" w:eastAsia="仿宋_GB2312" w:cs="Times New Roman"/>
                <w:color w:val="000000"/>
                <w:kern w:val="2"/>
                <w:sz w:val="22"/>
                <w:szCs w:val="22"/>
                <w:lang w:eastAsia="zh-CN"/>
              </w:rPr>
              <w:t>不小于</w:t>
            </w:r>
            <w:r>
              <w:rPr>
                <w:rFonts w:ascii="Times New Roman" w:hAnsi="Times New Roman" w:eastAsia="仿宋_GB2312" w:cs="Times New Roman"/>
                <w:color w:val="000000"/>
                <w:kern w:val="2"/>
                <w:sz w:val="22"/>
                <w:szCs w:val="22"/>
              </w:rPr>
              <w:t>1</w:t>
            </w:r>
            <w:r>
              <w:rPr>
                <w:rFonts w:hint="eastAsia" w:ascii="Times New Roman" w:hAnsi="Times New Roman" w:eastAsia="仿宋_GB2312" w:cs="Times New Roman"/>
                <w:color w:val="000000"/>
                <w:kern w:val="2"/>
                <w:sz w:val="22"/>
                <w:szCs w:val="22"/>
                <w:lang w:eastAsia="zh-CN"/>
              </w:rPr>
              <w:t>0</w:t>
            </w:r>
            <w:r>
              <w:rPr>
                <w:rFonts w:ascii="Times New Roman" w:hAnsi="Times New Roman" w:eastAsia="仿宋_GB2312" w:cs="Times New Roman"/>
                <w:color w:val="000000"/>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hint="eastAsia" w:ascii="Times New Roman" w:hAnsi="Times New Roman" w:eastAsia="仿宋_GB2312"/>
                <w:color w:val="000000"/>
                <w:sz w:val="22"/>
              </w:rPr>
              <w:t>202</w:t>
            </w:r>
            <w:r>
              <w:rPr>
                <w:rFonts w:hint="eastAsia" w:eastAsia="仿宋_GB2312"/>
                <w:color w:val="000000"/>
                <w:sz w:val="22"/>
                <w:lang w:val="en-US" w:eastAsia="zh-CN"/>
              </w:rPr>
              <w:t>3</w:t>
            </w:r>
            <w:r>
              <w:rPr>
                <w:rFonts w:ascii="Times New Roman" w:hAnsi="Times New Roman" w:eastAsia="仿宋_GB2312"/>
                <w:color w:val="000000"/>
                <w:sz w:val="22"/>
              </w:rPr>
              <w:t>年度单位产品取水量达到节水型企业标准考核指标</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未使用国家明令禁止或列入禁止、淘汰目录的用水设备</w:t>
            </w:r>
            <w:r>
              <w:rPr>
                <w:rFonts w:hint="eastAsia" w:ascii="Times New Roman" w:hAnsi="Times New Roman" w:eastAsia="仿宋_GB2312"/>
                <w:color w:val="000000"/>
                <w:sz w:val="22"/>
              </w:rPr>
              <w:t>或</w:t>
            </w:r>
            <w:r>
              <w:rPr>
                <w:rFonts w:ascii="Times New Roman" w:hAnsi="Times New Roman" w:eastAsia="仿宋_GB2312"/>
                <w:color w:val="000000"/>
                <w:sz w:val="22"/>
              </w:rPr>
              <w:t>器具</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新建、改建、扩建项目时实施节水</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三同时</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“四到位</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制度</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9</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水计量器具配备满足国家标准《用水单位水计量器具配备和管理通则》（GB</w:t>
            </w:r>
            <w:r>
              <w:rPr>
                <w:rFonts w:hint="eastAsia" w:eastAsia="仿宋_GB2312"/>
                <w:color w:val="000000"/>
                <w:sz w:val="22"/>
                <w:lang w:val="en-US" w:eastAsia="zh-CN"/>
              </w:rPr>
              <w:t>/T</w:t>
            </w:r>
            <w:r>
              <w:rPr>
                <w:rFonts w:hint="eastAsia" w:ascii="Times New Roman" w:hAnsi="Times New Roman" w:eastAsia="仿宋_GB2312"/>
                <w:color w:val="000000"/>
                <w:sz w:val="22"/>
              </w:rPr>
              <w:t xml:space="preserve"> </w:t>
            </w:r>
            <w:r>
              <w:rPr>
                <w:rFonts w:ascii="Times New Roman" w:hAnsi="Times New Roman" w:eastAsia="仿宋_GB2312"/>
                <w:color w:val="000000"/>
                <w:sz w:val="22"/>
              </w:rPr>
              <w:t>24789</w:t>
            </w:r>
            <w:r>
              <w:rPr>
                <w:rFonts w:hint="eastAsia" w:eastAsia="仿宋_GB2312"/>
                <w:color w:val="000000"/>
                <w:sz w:val="22"/>
                <w:lang w:val="en-US" w:eastAsia="zh-CN"/>
              </w:rPr>
              <w:t>-2022</w:t>
            </w:r>
            <w:r>
              <w:rPr>
                <w:rFonts w:ascii="Times New Roman" w:hAnsi="Times New Roman" w:eastAsia="仿宋_GB2312"/>
                <w:color w:val="000000"/>
                <w:sz w:val="22"/>
              </w:rPr>
              <w:t>）要求，并依法检定或校准</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bl>
    <w:p>
      <w:pPr>
        <w:spacing w:before="156" w:beforeLines="50" w:line="360" w:lineRule="auto"/>
        <w:ind w:firstLine="560" w:firstLineChars="200"/>
        <w:textAlignment w:val="baseline"/>
        <w:rPr>
          <w:rFonts w:hint="eastAsia" w:ascii="Times New Roman" w:hAnsi="Times New Roman" w:eastAsia="仿宋_GB2312" w:cs="仿宋_GB2312"/>
          <w:b w:val="0"/>
          <w:color w:val="000000"/>
          <w:sz w:val="28"/>
          <w:szCs w:val="28"/>
        </w:rPr>
        <w:sectPr>
          <w:headerReference r:id="rId9" w:type="default"/>
          <w:pgSz w:w="16838" w:h="11906" w:orient="landscape"/>
          <w:pgMar w:top="1800" w:right="1440" w:bottom="1800" w:left="1440" w:header="851" w:footer="992" w:gutter="0"/>
          <w:cols w:space="720" w:num="1"/>
          <w:docGrid w:type="lines" w:linePitch="312" w:charSpace="0"/>
        </w:sectPr>
      </w:pPr>
    </w:p>
    <w:p>
      <w:pPr>
        <w:spacing w:line="360" w:lineRule="auto"/>
        <w:textAlignment w:val="baseline"/>
        <w:rPr>
          <w:rFonts w:hint="eastAsia" w:ascii="黑体" w:hAnsi="黑体" w:eastAsia="黑体" w:cs="黑体"/>
          <w:color w:val="000000"/>
          <w:sz w:val="36"/>
          <w:szCs w:val="36"/>
        </w:rPr>
      </w:pPr>
      <w:r>
        <w:rPr>
          <w:rFonts w:hint="eastAsia" w:ascii="黑体" w:hAnsi="黑体" w:eastAsia="黑体" w:cs="黑体"/>
          <w:color w:val="000000"/>
          <w:sz w:val="32"/>
          <w:szCs w:val="32"/>
        </w:rPr>
        <w:t>附表2</w:t>
      </w:r>
    </w:p>
    <w:p>
      <w:pPr>
        <w:adjustRightInd w:val="0"/>
        <w:snapToGrid/>
        <w:spacing w:before="157" w:beforeLines="50" w:after="157" w:after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管理指标自评表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序号</w:t>
            </w:r>
          </w:p>
        </w:tc>
        <w:tc>
          <w:tcPr>
            <w:tcW w:w="122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指标</w:t>
            </w:r>
          </w:p>
        </w:tc>
        <w:tc>
          <w:tcPr>
            <w:tcW w:w="795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要求</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总分</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自评得分</w:t>
            </w: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nil"/>
              <w:left w:val="single" w:color="000000"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1</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管理制度</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①有节水管理制度、节水管理网络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②有岗位责任管理制度、有岗位责任奖惩制度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nil"/>
              <w:left w:val="single" w:color="000000" w:sz="4" w:space="0"/>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000000"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①制定节水规划，有节水目标和任务，并分解到各部门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②制定年度节水计划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③有年度节水工作总结</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①有节水用水统计制度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②定期向相关部门报送节水用水统计报表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①有企业主要领导负责节水工作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②企业主要领导熟悉和经常性组织节水工作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①设有企业节水管理部门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②有专（兼）职用水、节水管理人员</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①有详细供水、排水管网图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②有详细供水计量网络图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③有用水、节水设备操作规程</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①有日常巡查和保修检修制度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②定期对管网和设备进行检修</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原始记录和统计台帐完整规范并定期进行分析。</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①有完整规范供水计量原始纪录</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②有完整规范供水计量统计台帐</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③有定期原始记录和统计分析报告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①有内部用水定额管理制度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②有内部节水管理考核奖惩制度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5</w:t>
            </w:r>
          </w:p>
        </w:tc>
        <w:tc>
          <w:tcPr>
            <w:tcW w:w="122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水平衡测试</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①定期开展水平衡测试、有水平衡测试报告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②开展供水管网检测漏</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③制定基于水平衡测试的节水整改优化方案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生产工艺和设备</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①有节水改造项目立项报告和实施计划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②有节水技术改造项目实施方案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③有节水项目实施情况分析报告和项目清单</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2409"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①使用节水新技术、新工艺、新设备</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②节水设备运行正常、管理维护好</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7</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节水宣传</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①经常性开展内部节水宣传和张贴宣传标识</w:t>
            </w:r>
            <w:r>
              <w:rPr>
                <w:rFonts w:hint="eastAsia" w:ascii="Times New Roman" w:hAnsi="Times New Roman" w:eastAsia="仿宋_GB2312" w:cs="仿宋_GB2312"/>
                <w:sz w:val="22"/>
                <w:szCs w:val="21"/>
                <w:lang w:eastAsia="zh-CN"/>
              </w:rPr>
              <w:t>，参加</w:t>
            </w:r>
            <w:r>
              <w:rPr>
                <w:rFonts w:hint="eastAsia" w:ascii="Times New Roman" w:hAnsi="Times New Roman" w:eastAsia="仿宋_GB2312" w:cs="仿宋_GB2312"/>
                <w:sz w:val="22"/>
                <w:szCs w:val="21"/>
              </w:rPr>
              <w:t>社会节水宣传活动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②定期开展节水教育培训和知识竞赛活动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③参与节水标准制修订工作</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①有发表节水文章和论文</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②有全员岗位节水“金点子”及奖励制度</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③有节水宣传标识</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8</w:t>
            </w:r>
          </w:p>
        </w:tc>
        <w:tc>
          <w:tcPr>
            <w:tcW w:w="122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水源结构</w:t>
            </w:r>
          </w:p>
        </w:tc>
        <w:tc>
          <w:tcPr>
            <w:tcW w:w="7959" w:type="dxa"/>
            <w:gridSpan w:val="2"/>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企业有使用地下水的情况</w:t>
            </w:r>
            <w:r>
              <w:rPr>
                <w:rFonts w:hint="eastAsia" w:eastAsia="仿宋_GB2312"/>
                <w:sz w:val="22"/>
                <w:szCs w:val="21"/>
                <w:lang w:eastAsia="zh-CN"/>
              </w:rPr>
              <w:t>，扣</w:t>
            </w:r>
            <w:r>
              <w:rPr>
                <w:rFonts w:hint="eastAsia" w:eastAsia="仿宋_GB2312"/>
                <w:sz w:val="22"/>
                <w:szCs w:val="21"/>
                <w:lang w:val="en-US" w:eastAsia="zh-CN"/>
              </w:rPr>
              <w:t>3分</w:t>
            </w:r>
            <w:r>
              <w:rPr>
                <w:rFonts w:ascii="Times New Roman" w:hAnsi="Times New Roman" w:eastAsia="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9</w:t>
            </w:r>
          </w:p>
        </w:tc>
        <w:tc>
          <w:tcPr>
            <w:tcW w:w="1227" w:type="dxa"/>
            <w:vMerge w:val="restart"/>
            <w:tcBorders>
              <w:top w:val="single" w:color="auto" w:sz="4" w:space="0"/>
              <w:left w:val="nil"/>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鼓励性</w:t>
            </w:r>
          </w:p>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指标</w:t>
            </w:r>
          </w:p>
        </w:tc>
        <w:tc>
          <w:tcPr>
            <w:tcW w:w="2409" w:type="dxa"/>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创新工作</w:t>
            </w:r>
          </w:p>
        </w:tc>
        <w:tc>
          <w:tcPr>
            <w:tcW w:w="5550" w:type="dxa"/>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企业推行合同节水管理，开展用水审计等创新节水活动，</w:t>
            </w:r>
            <w:r>
              <w:rPr>
                <w:rFonts w:hint="eastAsia" w:ascii="Times New Roman" w:hAnsi="Times New Roman" w:eastAsia="仿宋_GB2312"/>
                <w:sz w:val="22"/>
                <w:szCs w:val="21"/>
                <w:lang w:eastAsia="zh-CN"/>
              </w:rPr>
              <w:t>加1</w:t>
            </w:r>
            <w:r>
              <w:rPr>
                <w:rFonts w:ascii="Times New Roman" w:hAnsi="Times New Roman" w:eastAsia="仿宋_GB2312"/>
                <w:sz w:val="22"/>
                <w:szCs w:val="21"/>
              </w:rPr>
              <w:t>分。</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非常规水源</w:t>
            </w:r>
            <w:r>
              <w:rPr>
                <w:rFonts w:hint="eastAsia" w:ascii="Times New Roman" w:hAnsi="Times New Roman" w:eastAsia="仿宋_GB2312"/>
                <w:sz w:val="22"/>
                <w:szCs w:val="21"/>
                <w:lang w:eastAsia="zh-CN"/>
              </w:rPr>
              <w:t>利用</w:t>
            </w:r>
          </w:p>
        </w:tc>
        <w:tc>
          <w:tcPr>
            <w:tcW w:w="555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企业利用</w:t>
            </w:r>
            <w:r>
              <w:rPr>
                <w:rFonts w:hint="eastAsia" w:ascii="Times New Roman" w:hAnsi="Times New Roman" w:eastAsia="仿宋_GB2312"/>
                <w:color w:val="auto"/>
                <w:sz w:val="22"/>
                <w:szCs w:val="21"/>
                <w:lang w:eastAsia="zh-CN"/>
              </w:rPr>
              <w:t>废水</w:t>
            </w:r>
            <w:r>
              <w:rPr>
                <w:rFonts w:ascii="Times New Roman" w:hAnsi="Times New Roman" w:eastAsia="仿宋_GB2312"/>
                <w:sz w:val="22"/>
                <w:szCs w:val="21"/>
              </w:rPr>
              <w:t>、城市中水、海水、雨水、矿井水等，</w:t>
            </w:r>
            <w:r>
              <w:rPr>
                <w:rFonts w:hint="eastAsia" w:ascii="Times New Roman" w:hAnsi="Times New Roman" w:eastAsia="仿宋_GB2312"/>
                <w:sz w:val="22"/>
                <w:szCs w:val="21"/>
                <w:lang w:eastAsia="zh-CN"/>
              </w:rPr>
              <w:t>加</w:t>
            </w:r>
            <w:r>
              <w:rPr>
                <w:rFonts w:hint="eastAsia" w:ascii="Times New Roman" w:hAnsi="Times New Roman" w:eastAsia="仿宋_GB2312"/>
                <w:sz w:val="22"/>
                <w:szCs w:val="21"/>
                <w:lang w:val="en-US" w:eastAsia="zh-CN"/>
              </w:rPr>
              <w:t>1</w:t>
            </w:r>
            <w:r>
              <w:rPr>
                <w:rFonts w:ascii="Times New Roman" w:hAnsi="Times New Roman" w:eastAsia="仿宋_GB2312"/>
                <w:sz w:val="22"/>
                <w:szCs w:val="21"/>
              </w:rPr>
              <w:t>分</w:t>
            </w:r>
            <w:r>
              <w:rPr>
                <w:rFonts w:hint="eastAsia" w:ascii="Times New Roman" w:hAnsi="Times New Roman" w:eastAsia="仿宋_GB2312"/>
                <w:sz w:val="22"/>
                <w:szCs w:val="21"/>
                <w:lang w:eastAsia="zh-CN"/>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val="en-US" w:eastAsia="zh-CN"/>
              </w:rPr>
              <w:t>1</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绿色</w:t>
            </w:r>
            <w:r>
              <w:rPr>
                <w:rFonts w:hint="eastAsia" w:eastAsia="仿宋_GB2312"/>
                <w:sz w:val="22"/>
                <w:szCs w:val="21"/>
                <w:lang w:eastAsia="zh-CN"/>
              </w:rPr>
              <w:t>称号</w:t>
            </w:r>
          </w:p>
        </w:tc>
        <w:tc>
          <w:tcPr>
            <w:tcW w:w="5550" w:type="dxa"/>
            <w:tcBorders>
              <w:top w:val="single" w:color="auto" w:sz="4" w:space="0"/>
              <w:left w:val="nil"/>
              <w:bottom w:val="single" w:color="auto" w:sz="4" w:space="0"/>
              <w:right w:val="single" w:color="auto" w:sz="4" w:space="0"/>
            </w:tcBorders>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企业获得省级绿色工厂称号，加</w:t>
            </w:r>
            <w:r>
              <w:rPr>
                <w:rFonts w:hint="eastAsia" w:ascii="Times New Roman" w:hAnsi="Times New Roman" w:eastAsia="仿宋_GB2312"/>
                <w:sz w:val="22"/>
                <w:szCs w:val="21"/>
                <w:lang w:val="en-US" w:eastAsia="zh-CN"/>
              </w:rPr>
              <w:t>1分</w:t>
            </w:r>
            <w:r>
              <w:rPr>
                <w:rFonts w:hint="eastAsia" w:ascii="Times New Roman" w:hAnsi="Times New Roman" w:eastAsia="仿宋_GB2312"/>
                <w:sz w:val="22"/>
                <w:szCs w:val="21"/>
                <w:lang w:eastAsia="zh-CN"/>
              </w:rPr>
              <w:t>。企业获得国家级绿色工厂称号，加</w:t>
            </w:r>
            <w:r>
              <w:rPr>
                <w:rFonts w:hint="eastAsia" w:ascii="Times New Roman" w:hAnsi="Times New Roman" w:eastAsia="仿宋_GB2312"/>
                <w:sz w:val="22"/>
                <w:szCs w:val="21"/>
                <w:lang w:val="en-US" w:eastAsia="zh-CN"/>
              </w:rPr>
              <w:t>2分。</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r>
              <w:rPr>
                <w:rFonts w:hint="default" w:ascii="Times New Roman" w:hAnsi="Times New Roman" w:eastAsia="仿宋_GB2312" w:cs="Times New Roman"/>
                <w:sz w:val="22"/>
                <w:szCs w:val="21"/>
                <w:lang w:val="en-US" w:eastAsia="zh-CN"/>
              </w:rPr>
              <w:t>~</w:t>
            </w:r>
            <w:r>
              <w:rPr>
                <w:rFonts w:hint="eastAsia" w:ascii="Times New Roman" w:hAnsi="Times New Roman" w:eastAsia="仿宋_GB2312"/>
                <w:sz w:val="22"/>
                <w:szCs w:val="21"/>
                <w:lang w:val="en-US" w:eastAsia="zh-CN"/>
              </w:rPr>
              <w:t>2</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vAlign w:val="center"/>
          </w:tcPr>
          <w:p>
            <w:pPr>
              <w:adjustRightInd w:val="0"/>
              <w:snapToGrid w:val="0"/>
              <w:jc w:val="center"/>
              <w:rPr>
                <w:rFonts w:hint="eastAsia" w:ascii="Times New Roman" w:hAnsi="Times New Roman" w:eastAsia="仿宋_GB2312"/>
                <w:sz w:val="22"/>
                <w:szCs w:val="21"/>
              </w:rPr>
            </w:pPr>
            <w:r>
              <w:rPr>
                <w:rFonts w:hint="eastAsia" w:ascii="Times New Roman" w:hAnsi="Times New Roman" w:eastAsia="仿宋_GB2312"/>
                <w:b/>
                <w:bCs w:val="0"/>
                <w:sz w:val="22"/>
                <w:szCs w:val="21"/>
              </w:rPr>
              <w:t>管理指标自评总得分</w:t>
            </w:r>
          </w:p>
        </w:tc>
        <w:tc>
          <w:tcPr>
            <w:tcW w:w="3473" w:type="dxa"/>
            <w:gridSpan w:val="2"/>
            <w:vAlign w:val="center"/>
          </w:tcPr>
          <w:p>
            <w:pPr>
              <w:adjustRightInd w:val="0"/>
              <w:snapToGrid w:val="0"/>
              <w:jc w:val="center"/>
              <w:rPr>
                <w:rFonts w:ascii="Times New Roman" w:hAnsi="Times New Roman" w:eastAsia="仿宋_GB2312"/>
                <w:sz w:val="22"/>
                <w:szCs w:val="21"/>
              </w:rPr>
            </w:pPr>
          </w:p>
        </w:tc>
      </w:tr>
    </w:tbl>
    <w:p>
      <w:pPr>
        <w:adjustRightInd w:val="0"/>
        <w:snapToGrid w:val="0"/>
        <w:rPr>
          <w:rFonts w:hint="eastAsia" w:ascii="Times New Roman" w:hAnsi="Times New Roman" w:eastAsia="仿宋_GB2312"/>
          <w:bCs/>
          <w:szCs w:val="21"/>
        </w:rPr>
      </w:pPr>
    </w:p>
    <w:p>
      <w:pPr>
        <w:adjustRightInd w:val="0"/>
        <w:snapToGrid w:val="0"/>
        <w:ind w:firstLine="0" w:firstLineChars="0"/>
        <w:rPr>
          <w:rFonts w:ascii="Times New Roman" w:hAnsi="Times New Roman" w:eastAsia="仿宋_GB2312"/>
          <w:bCs/>
          <w:sz w:val="24"/>
          <w:szCs w:val="24"/>
        </w:rPr>
      </w:pPr>
      <w:r>
        <w:rPr>
          <w:rFonts w:ascii="Times New Roman" w:hAnsi="Times New Roman" w:eastAsia="仿宋_GB2312"/>
          <w:bCs/>
          <w:sz w:val="24"/>
          <w:szCs w:val="24"/>
        </w:rPr>
        <w:t>注：1.自评打分</w:t>
      </w:r>
      <w:r>
        <w:rPr>
          <w:rFonts w:hint="eastAsia" w:eastAsia="仿宋_GB2312"/>
          <w:bCs/>
          <w:sz w:val="24"/>
          <w:szCs w:val="24"/>
          <w:lang w:eastAsia="zh-CN"/>
        </w:rPr>
        <w:t>说明</w:t>
      </w:r>
      <w:r>
        <w:rPr>
          <w:rFonts w:ascii="Times New Roman" w:hAnsi="Times New Roman" w:eastAsia="仿宋_GB2312"/>
          <w:bCs/>
          <w:sz w:val="24"/>
          <w:szCs w:val="24"/>
        </w:rPr>
        <w:t>：</w:t>
      </w:r>
    </w:p>
    <w:p>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①</w:t>
      </w:r>
      <w:r>
        <w:rPr>
          <w:rFonts w:ascii="Times New Roman" w:hAnsi="Times New Roman" w:eastAsia="仿宋_GB2312"/>
          <w:bCs/>
          <w:sz w:val="24"/>
          <w:szCs w:val="24"/>
        </w:rPr>
        <w:t>第8项是扣分项，符合该条件扣3分，不符合不扣分；</w:t>
      </w:r>
    </w:p>
    <w:p>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②</w:t>
      </w:r>
      <w:r>
        <w:rPr>
          <w:rFonts w:ascii="Times New Roman" w:hAnsi="Times New Roman" w:eastAsia="仿宋_GB2312"/>
          <w:bCs/>
          <w:sz w:val="24"/>
          <w:szCs w:val="24"/>
        </w:rPr>
        <w:t>第9项是加分项，符合该条件可</w:t>
      </w:r>
      <w:r>
        <w:rPr>
          <w:rFonts w:hint="eastAsia" w:eastAsia="仿宋_GB2312"/>
          <w:bCs/>
          <w:sz w:val="24"/>
          <w:szCs w:val="24"/>
          <w:lang w:eastAsia="zh-CN"/>
        </w:rPr>
        <w:t>另</w:t>
      </w:r>
      <w:r>
        <w:rPr>
          <w:rFonts w:ascii="Times New Roman" w:hAnsi="Times New Roman" w:eastAsia="仿宋_GB2312"/>
          <w:bCs/>
          <w:sz w:val="24"/>
          <w:szCs w:val="24"/>
        </w:rPr>
        <w:t>加分，不符合不加分。</w:t>
      </w:r>
    </w:p>
    <w:p>
      <w:pPr>
        <w:numPr>
          <w:ilvl w:val="0"/>
          <w:numId w:val="0"/>
        </w:numPr>
        <w:adjustRightInd w:val="0"/>
        <w:snapToGrid w:val="0"/>
        <w:ind w:firstLine="480" w:firstLineChars="200"/>
        <w:rPr>
          <w:rFonts w:hint="eastAsia" w:ascii="Times New Roman" w:hAnsi="Times New Roman" w:eastAsia="仿宋_GB2312"/>
          <w:b w:val="0"/>
          <w:bCs/>
          <w:sz w:val="24"/>
          <w:szCs w:val="24"/>
        </w:rPr>
      </w:pPr>
      <w:r>
        <w:rPr>
          <w:rFonts w:hint="default" w:eastAsia="仿宋_GB2312"/>
          <w:b w:val="0"/>
          <w:bCs/>
          <w:sz w:val="24"/>
          <w:szCs w:val="24"/>
          <w:lang w:val="en-US" w:eastAsia="zh-CN"/>
        </w:rPr>
        <w:t>2.</w:t>
      </w:r>
      <w:r>
        <w:rPr>
          <w:rFonts w:hint="default" w:ascii="Times New Roman" w:hAnsi="Times New Roman" w:eastAsia="仿宋_GB2312"/>
          <w:b w:val="0"/>
          <w:bCs/>
          <w:sz w:val="24"/>
          <w:szCs w:val="24"/>
        </w:rPr>
        <w:t>平板玻璃、水泥行业参见JC/T 2695-2022《节水型企业 平板玻璃行业》、JC/T 2694-2022《节水型企业</w:t>
      </w:r>
      <w:r>
        <w:rPr>
          <w:rFonts w:hint="eastAsia" w:eastAsia="仿宋_GB2312"/>
          <w:b w:val="0"/>
          <w:bCs/>
          <w:sz w:val="24"/>
          <w:szCs w:val="24"/>
          <w:lang w:eastAsia="zh-CN"/>
        </w:rPr>
        <w:t xml:space="preserve"> </w:t>
      </w:r>
      <w:r>
        <w:rPr>
          <w:rFonts w:hint="default" w:ascii="Times New Roman" w:hAnsi="Times New Roman" w:eastAsia="仿宋_GB2312"/>
          <w:b w:val="0"/>
          <w:bCs/>
          <w:sz w:val="24"/>
          <w:szCs w:val="24"/>
        </w:rPr>
        <w:t>水泥行业》</w:t>
      </w:r>
      <w:r>
        <w:rPr>
          <w:rFonts w:hint="eastAsia" w:eastAsia="仿宋_GB2312"/>
          <w:b w:val="0"/>
          <w:bCs/>
          <w:sz w:val="24"/>
          <w:szCs w:val="24"/>
          <w:lang w:eastAsia="zh-CN"/>
        </w:rPr>
        <w:t>管理指标及要求进行打分，满分</w:t>
      </w:r>
      <w:r>
        <w:rPr>
          <w:rFonts w:hint="eastAsia" w:eastAsia="仿宋_GB2312"/>
          <w:b w:val="0"/>
          <w:bCs/>
          <w:sz w:val="24"/>
          <w:szCs w:val="24"/>
          <w:lang w:val="en-US" w:eastAsia="zh-CN"/>
        </w:rPr>
        <w:t>60分，扣分项、加分项不变。</w:t>
      </w:r>
    </w:p>
    <w:p>
      <w:pPr>
        <w:adjustRightInd w:val="0"/>
        <w:snapToGrid w:val="0"/>
        <w:ind w:firstLine="480" w:firstLineChars="200"/>
        <w:jc w:val="left"/>
        <w:rPr>
          <w:rFonts w:hint="default" w:eastAsia="仿宋_GB2312"/>
          <w:bCs/>
          <w:sz w:val="24"/>
          <w:szCs w:val="24"/>
          <w:lang w:val="en-US" w:eastAsia="zh-CN"/>
        </w:rPr>
      </w:pPr>
      <w:r>
        <w:rPr>
          <w:rFonts w:hint="eastAsia" w:eastAsia="仿宋_GB2312"/>
          <w:bCs/>
          <w:sz w:val="24"/>
          <w:szCs w:val="24"/>
          <w:lang w:val="en-US" w:eastAsia="zh-CN"/>
        </w:rPr>
        <w:t>3</w:t>
      </w:r>
      <w:r>
        <w:rPr>
          <w:rFonts w:ascii="Times New Roman" w:hAnsi="Times New Roman" w:eastAsia="仿宋_GB2312"/>
          <w:bCs/>
          <w:sz w:val="24"/>
          <w:szCs w:val="24"/>
        </w:rPr>
        <w:t>.</w:t>
      </w:r>
      <w:r>
        <w:rPr>
          <w:rFonts w:hint="eastAsia" w:ascii="Times New Roman" w:hAnsi="Times New Roman" w:eastAsia="仿宋_GB2312"/>
          <w:bCs/>
          <w:sz w:val="24"/>
          <w:szCs w:val="24"/>
        </w:rPr>
        <w:t>证明材料索引</w:t>
      </w:r>
      <w:r>
        <w:rPr>
          <w:rFonts w:ascii="Times New Roman" w:hAnsi="Times New Roman" w:eastAsia="仿宋_GB2312"/>
          <w:bCs/>
          <w:sz w:val="24"/>
          <w:szCs w:val="24"/>
        </w:rPr>
        <w:t>：附上相关文件、记录等证明自评得分的材料</w:t>
      </w:r>
      <w:r>
        <w:rPr>
          <w:rFonts w:hint="eastAsia" w:ascii="Times New Roman" w:hAnsi="Times New Roman" w:eastAsia="仿宋_GB2312"/>
          <w:bCs/>
          <w:sz w:val="24"/>
          <w:szCs w:val="24"/>
        </w:rPr>
        <w:t>索引</w:t>
      </w:r>
      <w:r>
        <w:rPr>
          <w:rFonts w:ascii="Times New Roman" w:hAnsi="Times New Roman" w:eastAsia="仿宋_GB2312"/>
          <w:bCs/>
          <w:sz w:val="24"/>
          <w:szCs w:val="24"/>
        </w:rPr>
        <w:t>。</w:t>
      </w:r>
    </w:p>
    <w:p>
      <w:pPr>
        <w:adjustRightInd w:val="0"/>
        <w:snapToGrid w:val="0"/>
        <w:rPr>
          <w:rFonts w:ascii="Times New Roman" w:hAnsi="Times New Roman" w:eastAsia="仿宋_GB2312"/>
          <w:bCs/>
          <w:sz w:val="24"/>
          <w:szCs w:val="24"/>
        </w:rPr>
      </w:pPr>
    </w:p>
    <w:p>
      <w:pPr>
        <w:spacing w:line="360" w:lineRule="auto"/>
        <w:textAlignment w:val="baseline"/>
        <w:rPr>
          <w:rFonts w:ascii="Times New Roman" w:hAnsi="Times New Roman" w:eastAsia="仿宋_GB2312"/>
          <w:color w:val="000000"/>
          <w:sz w:val="32"/>
          <w:szCs w:val="32"/>
        </w:rPr>
      </w:pPr>
      <w:r>
        <w:rPr>
          <w:rFonts w:ascii="Times New Roman" w:hAnsi="Times New Roman" w:eastAsia="仿宋_GB2312"/>
          <w:bCs/>
          <w:szCs w:val="21"/>
        </w:rPr>
        <w:br w:type="page"/>
      </w:r>
      <w:r>
        <w:rPr>
          <w:rFonts w:hint="eastAsia" w:ascii="黑体" w:hAnsi="黑体" w:eastAsia="黑体" w:cs="黑体"/>
          <w:color w:val="000000"/>
          <w:sz w:val="32"/>
          <w:szCs w:val="32"/>
        </w:rPr>
        <w:t>附表3</w:t>
      </w:r>
    </w:p>
    <w:p>
      <w:pPr>
        <w:spacing w:after="157" w:afterLines="50" w:line="360" w:lineRule="auto"/>
        <w:jc w:val="center"/>
        <w:textAlignment w:val="baseline"/>
        <w:rPr>
          <w:rFonts w:hint="eastAsia" w:ascii="黑体" w:hAnsi="黑体" w:eastAsia="黑体" w:cs="黑体"/>
          <w:b w:val="0"/>
          <w:color w:val="000000"/>
          <w:sz w:val="36"/>
          <w:szCs w:val="36"/>
        </w:rPr>
      </w:pPr>
      <w:r>
        <w:rPr>
          <w:rFonts w:hint="eastAsia" w:ascii="黑体" w:hAnsi="黑体" w:eastAsia="黑体" w:cs="黑体"/>
          <w:bCs/>
          <w:color w:val="000000"/>
          <w:sz w:val="36"/>
          <w:szCs w:val="36"/>
        </w:rPr>
        <w:t>技术指标自评表</w:t>
      </w: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 钢铁行业技术指标自评表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21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取水量</w:t>
            </w:r>
          </w:p>
        </w:tc>
        <w:tc>
          <w:tcPr>
            <w:tcW w:w="2051" w:type="dxa"/>
            <w:vMerge w:val="restart"/>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吨钢取水量</w:t>
            </w:r>
          </w:p>
        </w:tc>
        <w:tc>
          <w:tcPr>
            <w:tcW w:w="1023"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仿宋_GB2312"/>
                <w:sz w:val="24"/>
                <w:lang w:val="en-US" w:eastAsia="zh-CN"/>
              </w:rPr>
            </w:pPr>
            <w:r>
              <w:rPr>
                <w:rFonts w:ascii="Times New Roman" w:hAnsi="Times New Roman" w:eastAsia="仿宋_GB2312"/>
                <w:sz w:val="24"/>
              </w:rPr>
              <w:t>m</w:t>
            </w:r>
            <w:r>
              <w:rPr>
                <w:rFonts w:ascii="Times New Roman" w:hAnsi="Times New Roman" w:eastAsia="仿宋_GB2312"/>
                <w:sz w:val="24"/>
                <w:vertAlign w:val="superscript"/>
              </w:rPr>
              <w:t>3</w:t>
            </w:r>
            <w:r>
              <w:rPr>
                <w:rFonts w:hint="eastAsia" w:eastAsia="仿宋_GB2312"/>
                <w:sz w:val="24"/>
                <w:vertAlign w:val="baseline"/>
                <w:lang w:val="en-US" w:eastAsia="zh-CN"/>
              </w:rPr>
              <w:t>/t</w:t>
            </w:r>
          </w:p>
        </w:tc>
        <w:tc>
          <w:tcPr>
            <w:tcW w:w="127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≤4.2</w:t>
            </w:r>
          </w:p>
        </w:tc>
        <w:tc>
          <w:tcPr>
            <w:tcW w:w="2013"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hint="eastAsia" w:ascii="Times New Roman" w:hAnsi="Times New Roman" w:eastAsia="仿宋_GB2312"/>
                <w:sz w:val="24"/>
                <w:lang w:eastAsia="zh-CN"/>
              </w:rPr>
              <w:t>单位产品常规水源</w:t>
            </w:r>
            <w:r>
              <w:rPr>
                <w:rFonts w:hint="eastAsia" w:ascii="Times New Roman" w:hAnsi="Times New Roman" w:eastAsia="仿宋_GB2312"/>
                <w:sz w:val="24"/>
              </w:rPr>
              <w:t>取水量</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p>
        </w:tc>
        <w:tc>
          <w:tcPr>
            <w:tcW w:w="275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10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05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102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127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013"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hint="eastAsia" w:ascii="Times New Roman" w:hAnsi="Times New Roman" w:eastAsia="仿宋_GB2312"/>
                <w:sz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75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21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≥75</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≥97</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lang w:eastAsia="zh-CN"/>
              </w:rPr>
            </w:pPr>
            <w:r>
              <w:rPr>
                <w:rFonts w:hint="eastAsia" w:eastAsia="仿宋_GB2312"/>
                <w:sz w:val="24"/>
                <w:lang w:eastAsia="zh-CN"/>
              </w:rPr>
              <w:t>用水漏损</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Times New Roman" w:hAnsi="Times New Roman" w:eastAsia="仿宋_GB2312"/>
                <w:sz w:val="24"/>
                <w:szCs w:val="28"/>
              </w:rPr>
            </w:pPr>
            <w:r>
              <w:rPr>
                <w:rFonts w:ascii="Times New Roman" w:hAnsi="Times New Roman" w:eastAsia="仿宋_GB2312"/>
                <w:szCs w:val="21"/>
              </w:rPr>
              <w:t>注：各参数计算方法参见GB/T 26924-2011《节水型企业 钢铁行业》。</w:t>
            </w:r>
          </w:p>
        </w:tc>
      </w:tr>
    </w:tbl>
    <w:p>
      <w:pPr>
        <w:spacing w:line="360" w:lineRule="auto"/>
        <w:ind w:firstLine="560" w:firstLineChars="200"/>
        <w:textAlignment w:val="baseline"/>
        <w:rPr>
          <w:rFonts w:hint="eastAsia" w:ascii="Times New Roman" w:hAnsi="Times New Roman" w:eastAsia="仿宋_GB2312"/>
          <w:b w:val="0"/>
          <w:color w:val="000000"/>
          <w:sz w:val="28"/>
          <w:szCs w:val="28"/>
        </w:rPr>
        <w:sectPr>
          <w:headerReference r:id="rId10" w:type="default"/>
          <w:footerReference r:id="rId11"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 xml:space="preserve"> 炼焦行业技术指标自评表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371"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71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870"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799" w:type="dxa"/>
            <w:gridSpan w:val="3"/>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697" w:type="dxa"/>
            <w:gridSpan w:val="2"/>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75"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b w:val="0"/>
                <w:bCs/>
                <w:sz w:val="24"/>
                <w:szCs w:val="24"/>
              </w:rPr>
            </w:pPr>
          </w:p>
        </w:tc>
        <w:tc>
          <w:tcPr>
            <w:tcW w:w="1371" w:type="dxa"/>
            <w:vMerge w:val="continue"/>
            <w:vAlign w:val="center"/>
          </w:tcPr>
          <w:p>
            <w:pPr>
              <w:adjustRightInd w:val="0"/>
              <w:snapToGrid w:val="0"/>
              <w:jc w:val="center"/>
              <w:rPr>
                <w:rFonts w:ascii="Times New Roman" w:hAnsi="Times New Roman" w:eastAsia="仿宋_GB2312"/>
                <w:b w:val="0"/>
                <w:bCs/>
                <w:sz w:val="24"/>
                <w:szCs w:val="24"/>
              </w:rPr>
            </w:pPr>
          </w:p>
        </w:tc>
        <w:tc>
          <w:tcPr>
            <w:tcW w:w="1714" w:type="dxa"/>
            <w:vMerge w:val="continue"/>
            <w:vAlign w:val="center"/>
          </w:tcPr>
          <w:p>
            <w:pPr>
              <w:adjustRightInd w:val="0"/>
              <w:snapToGrid w:val="0"/>
              <w:jc w:val="center"/>
              <w:rPr>
                <w:rFonts w:ascii="Times New Roman" w:hAnsi="Times New Roman" w:eastAsia="仿宋_GB2312"/>
                <w:b w:val="0"/>
                <w:bCs/>
                <w:sz w:val="24"/>
                <w:szCs w:val="24"/>
              </w:rPr>
            </w:pPr>
          </w:p>
        </w:tc>
        <w:tc>
          <w:tcPr>
            <w:tcW w:w="870" w:type="dxa"/>
            <w:vMerge w:val="continue"/>
            <w:vAlign w:val="center"/>
          </w:tcPr>
          <w:p>
            <w:pPr>
              <w:adjustRightInd w:val="0"/>
              <w:snapToGrid w:val="0"/>
              <w:jc w:val="center"/>
              <w:rPr>
                <w:rFonts w:ascii="Times New Roman" w:hAnsi="Times New Roman" w:eastAsia="仿宋_GB2312"/>
                <w:b w:val="0"/>
                <w:bCs/>
                <w:sz w:val="24"/>
                <w:szCs w:val="24"/>
              </w:rPr>
            </w:pPr>
          </w:p>
        </w:tc>
        <w:tc>
          <w:tcPr>
            <w:tcW w:w="802"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常规焦炉</w:t>
            </w:r>
          </w:p>
        </w:tc>
        <w:tc>
          <w:tcPr>
            <w:tcW w:w="98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热回收焦炉</w:t>
            </w:r>
          </w:p>
        </w:tc>
        <w:tc>
          <w:tcPr>
            <w:tcW w:w="100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半焦炉</w:t>
            </w:r>
          </w:p>
        </w:tc>
        <w:tc>
          <w:tcPr>
            <w:tcW w:w="3697" w:type="dxa"/>
            <w:gridSpan w:val="2"/>
            <w:vMerge w:val="continue"/>
            <w:vAlign w:val="center"/>
          </w:tcPr>
          <w:p>
            <w:pPr>
              <w:adjustRightInd w:val="0"/>
              <w:snapToGrid w:val="0"/>
              <w:jc w:val="center"/>
              <w:rPr>
                <w:rFonts w:ascii="Times New Roman" w:hAnsi="Times New Roman" w:eastAsia="仿宋_GB2312"/>
                <w:sz w:val="24"/>
                <w:szCs w:val="24"/>
              </w:rPr>
            </w:pPr>
          </w:p>
        </w:tc>
        <w:tc>
          <w:tcPr>
            <w:tcW w:w="2875" w:type="dxa"/>
            <w:vMerge w:val="continue"/>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1714"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吨焦取水量</w:t>
            </w:r>
          </w:p>
        </w:tc>
        <w:tc>
          <w:tcPr>
            <w:tcW w:w="870"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802"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989"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≤0.4</w:t>
            </w:r>
          </w:p>
        </w:tc>
        <w:tc>
          <w:tcPr>
            <w:tcW w:w="100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≤0.6</w:t>
            </w:r>
          </w:p>
        </w:tc>
        <w:tc>
          <w:tcPr>
            <w:tcW w:w="1524"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pPr>
              <w:adjustRightInd w:val="0"/>
              <w:snapToGrid w:val="0"/>
              <w:jc w:val="center"/>
              <w:rPr>
                <w:rFonts w:hint="eastAsia" w:ascii="Times New Roman" w:hAnsi="Times New Roman" w:eastAsia="仿宋_GB2312"/>
                <w:sz w:val="24"/>
                <w:szCs w:val="24"/>
              </w:rPr>
            </w:pPr>
          </w:p>
        </w:tc>
        <w:tc>
          <w:tcPr>
            <w:tcW w:w="2875" w:type="dxa"/>
            <w:vMerge w:val="restart"/>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vAlign w:val="center"/>
          </w:tcPr>
          <w:p>
            <w:pPr>
              <w:adjustRightInd w:val="0"/>
              <w:snapToGrid w:val="0"/>
              <w:jc w:val="center"/>
              <w:rPr>
                <w:rFonts w:ascii="Times New Roman" w:hAnsi="Times New Roman"/>
              </w:rPr>
            </w:pPr>
          </w:p>
        </w:tc>
        <w:tc>
          <w:tcPr>
            <w:tcW w:w="1371" w:type="dxa"/>
            <w:vMerge w:val="continue"/>
            <w:vAlign w:val="center"/>
          </w:tcPr>
          <w:p>
            <w:pPr>
              <w:adjustRightInd w:val="0"/>
              <w:snapToGrid w:val="0"/>
              <w:jc w:val="center"/>
              <w:rPr>
                <w:rFonts w:ascii="Times New Roman" w:hAnsi="Times New Roman"/>
              </w:rPr>
            </w:pPr>
          </w:p>
        </w:tc>
        <w:tc>
          <w:tcPr>
            <w:tcW w:w="1714" w:type="dxa"/>
            <w:vMerge w:val="continue"/>
            <w:vAlign w:val="center"/>
          </w:tcPr>
          <w:p>
            <w:pPr>
              <w:adjustRightInd w:val="0"/>
              <w:snapToGrid w:val="0"/>
              <w:jc w:val="center"/>
              <w:rPr>
                <w:rFonts w:ascii="Times New Roman" w:hAnsi="Times New Roman"/>
              </w:rPr>
            </w:pPr>
          </w:p>
        </w:tc>
        <w:tc>
          <w:tcPr>
            <w:tcW w:w="870" w:type="dxa"/>
            <w:vMerge w:val="continue"/>
            <w:vAlign w:val="center"/>
          </w:tcPr>
          <w:p>
            <w:pPr>
              <w:adjustRightInd w:val="0"/>
              <w:snapToGrid w:val="0"/>
              <w:jc w:val="center"/>
              <w:rPr>
                <w:rFonts w:ascii="Times New Roman" w:hAnsi="Times New Roman"/>
              </w:rPr>
            </w:pPr>
          </w:p>
        </w:tc>
        <w:tc>
          <w:tcPr>
            <w:tcW w:w="802" w:type="dxa"/>
            <w:vMerge w:val="continue"/>
            <w:vAlign w:val="center"/>
          </w:tcPr>
          <w:p>
            <w:pPr>
              <w:adjustRightInd w:val="0"/>
              <w:snapToGrid w:val="0"/>
              <w:jc w:val="center"/>
              <w:rPr>
                <w:rFonts w:ascii="Times New Roman" w:hAnsi="Times New Roman"/>
              </w:rPr>
            </w:pPr>
          </w:p>
        </w:tc>
        <w:tc>
          <w:tcPr>
            <w:tcW w:w="989" w:type="dxa"/>
            <w:vMerge w:val="continue"/>
            <w:vAlign w:val="center"/>
          </w:tcPr>
          <w:p>
            <w:pPr>
              <w:adjustRightInd w:val="0"/>
              <w:snapToGrid w:val="0"/>
              <w:jc w:val="center"/>
              <w:rPr>
                <w:rFonts w:ascii="Times New Roman" w:hAnsi="Times New Roman"/>
              </w:rPr>
            </w:pPr>
          </w:p>
        </w:tc>
        <w:tc>
          <w:tcPr>
            <w:tcW w:w="1008" w:type="dxa"/>
            <w:vMerge w:val="continue"/>
            <w:vAlign w:val="center"/>
          </w:tcPr>
          <w:p>
            <w:pPr>
              <w:adjustRightInd w:val="0"/>
              <w:snapToGrid w:val="0"/>
              <w:jc w:val="center"/>
              <w:rPr>
                <w:rFonts w:ascii="Times New Roman" w:hAnsi="Times New Roman"/>
              </w:rPr>
            </w:pPr>
          </w:p>
        </w:tc>
        <w:tc>
          <w:tcPr>
            <w:tcW w:w="1524" w:type="dxa"/>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吨焦取水量</w:t>
            </w:r>
          </w:p>
        </w:tc>
        <w:tc>
          <w:tcPr>
            <w:tcW w:w="2173" w:type="dxa"/>
            <w:vAlign w:val="center"/>
          </w:tcPr>
          <w:p>
            <w:pPr>
              <w:adjustRightInd w:val="0"/>
              <w:snapToGrid w:val="0"/>
              <w:jc w:val="center"/>
              <w:rPr>
                <w:rFonts w:ascii="Times New Roman" w:hAnsi="Times New Roman"/>
              </w:rPr>
            </w:pPr>
          </w:p>
        </w:tc>
        <w:tc>
          <w:tcPr>
            <w:tcW w:w="2875"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714"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870"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802"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989"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00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524"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pPr>
              <w:adjustRightInd w:val="0"/>
              <w:snapToGrid w:val="0"/>
              <w:jc w:val="center"/>
              <w:rPr>
                <w:rFonts w:ascii="Times New Roman" w:hAnsi="Times New Roman" w:eastAsia="仿宋_GB2312"/>
                <w:sz w:val="24"/>
                <w:szCs w:val="24"/>
              </w:rPr>
            </w:pPr>
          </w:p>
        </w:tc>
        <w:tc>
          <w:tcPr>
            <w:tcW w:w="2875" w:type="dxa"/>
            <w:vMerge w:val="restart"/>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vAlign w:val="center"/>
          </w:tcPr>
          <w:p>
            <w:pPr>
              <w:adjustRightInd w:val="0"/>
              <w:snapToGrid w:val="0"/>
              <w:jc w:val="center"/>
              <w:rPr>
                <w:rFonts w:ascii="Times New Roman" w:hAnsi="Times New Roman"/>
              </w:rPr>
            </w:pPr>
          </w:p>
        </w:tc>
        <w:tc>
          <w:tcPr>
            <w:tcW w:w="1371" w:type="dxa"/>
            <w:vMerge w:val="continue"/>
            <w:vAlign w:val="center"/>
          </w:tcPr>
          <w:p>
            <w:pPr>
              <w:adjustRightInd w:val="0"/>
              <w:snapToGrid w:val="0"/>
              <w:jc w:val="center"/>
              <w:rPr>
                <w:rFonts w:ascii="Times New Roman" w:hAnsi="Times New Roman"/>
              </w:rPr>
            </w:pPr>
          </w:p>
        </w:tc>
        <w:tc>
          <w:tcPr>
            <w:tcW w:w="1714" w:type="dxa"/>
            <w:vMerge w:val="continue"/>
            <w:vAlign w:val="center"/>
          </w:tcPr>
          <w:p>
            <w:pPr>
              <w:adjustRightInd w:val="0"/>
              <w:snapToGrid w:val="0"/>
              <w:jc w:val="center"/>
              <w:rPr>
                <w:rFonts w:ascii="Times New Roman" w:hAnsi="Times New Roman"/>
              </w:rPr>
            </w:pPr>
          </w:p>
        </w:tc>
        <w:tc>
          <w:tcPr>
            <w:tcW w:w="870" w:type="dxa"/>
            <w:vMerge w:val="continue"/>
            <w:vAlign w:val="center"/>
          </w:tcPr>
          <w:p>
            <w:pPr>
              <w:adjustRightInd w:val="0"/>
              <w:snapToGrid w:val="0"/>
              <w:jc w:val="center"/>
              <w:rPr>
                <w:rFonts w:ascii="Times New Roman" w:hAnsi="Times New Roman"/>
              </w:rPr>
            </w:pPr>
          </w:p>
        </w:tc>
        <w:tc>
          <w:tcPr>
            <w:tcW w:w="802" w:type="dxa"/>
            <w:vMerge w:val="continue"/>
            <w:vAlign w:val="center"/>
          </w:tcPr>
          <w:p>
            <w:pPr>
              <w:adjustRightInd w:val="0"/>
              <w:snapToGrid w:val="0"/>
              <w:jc w:val="center"/>
              <w:rPr>
                <w:rFonts w:ascii="Times New Roman" w:hAnsi="Times New Roman"/>
              </w:rPr>
            </w:pPr>
          </w:p>
        </w:tc>
        <w:tc>
          <w:tcPr>
            <w:tcW w:w="989" w:type="dxa"/>
            <w:vMerge w:val="continue"/>
            <w:vAlign w:val="center"/>
          </w:tcPr>
          <w:p>
            <w:pPr>
              <w:adjustRightInd w:val="0"/>
              <w:snapToGrid w:val="0"/>
              <w:jc w:val="center"/>
              <w:rPr>
                <w:rFonts w:ascii="Times New Roman" w:hAnsi="Times New Roman"/>
              </w:rPr>
            </w:pPr>
          </w:p>
        </w:tc>
        <w:tc>
          <w:tcPr>
            <w:tcW w:w="1008" w:type="dxa"/>
            <w:vMerge w:val="continue"/>
            <w:vAlign w:val="center"/>
          </w:tcPr>
          <w:p>
            <w:pPr>
              <w:adjustRightInd w:val="0"/>
              <w:snapToGrid w:val="0"/>
              <w:jc w:val="center"/>
              <w:rPr>
                <w:rFonts w:ascii="Times New Roman" w:hAnsi="Times New Roman"/>
              </w:rPr>
            </w:pPr>
          </w:p>
        </w:tc>
        <w:tc>
          <w:tcPr>
            <w:tcW w:w="1524" w:type="dxa"/>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重复利用率</w:t>
            </w:r>
          </w:p>
        </w:tc>
        <w:tc>
          <w:tcPr>
            <w:tcW w:w="2173" w:type="dxa"/>
            <w:vAlign w:val="center"/>
          </w:tcPr>
          <w:p>
            <w:pPr>
              <w:adjustRightInd w:val="0"/>
              <w:snapToGrid w:val="0"/>
              <w:jc w:val="center"/>
              <w:rPr>
                <w:rFonts w:ascii="Times New Roman" w:hAnsi="Times New Roman"/>
              </w:rPr>
            </w:pPr>
          </w:p>
        </w:tc>
        <w:tc>
          <w:tcPr>
            <w:tcW w:w="2875"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34610-2017《节水型企业 炼焦行业》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2"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3 </w:t>
      </w:r>
      <w:r>
        <w:rPr>
          <w:rFonts w:ascii="Times New Roman" w:hAnsi="Times New Roman" w:eastAsia="仿宋_GB2312"/>
          <w:bCs/>
          <w:color w:val="000000"/>
          <w:sz w:val="32"/>
          <w:szCs w:val="32"/>
        </w:rPr>
        <w:t>石油炼制行业技术指标自评表</w:t>
      </w:r>
    </w:p>
    <w:tbl>
      <w:tblPr>
        <w:tblStyle w:val="15"/>
        <w:tblW w:w="141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2855"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加工吨原(料)油取水量</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≤0.7</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252" w:type="dxa"/>
            <w:vMerge w:val="restart"/>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≥97.5</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浓缩倍数</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倍</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软化水、除盐水制取系数</w:t>
            </w:r>
          </w:p>
        </w:tc>
        <w:tc>
          <w:tcPr>
            <w:tcW w:w="1898"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蒸汽冷凝水回收率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含硫污水汽提净化水回用率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污(废)水回用率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898"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加工吨原(料)油排水量</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≤0.35</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tcMar>
              <w:top w:w="0" w:type="dxa"/>
              <w:left w:w="108" w:type="dxa"/>
              <w:bottom w:w="0" w:type="dxa"/>
              <w:right w:w="108" w:type="dxa"/>
            </w:tcMar>
            <w:vAlign w:val="center"/>
          </w:tcPr>
          <w:p>
            <w:pPr>
              <w:adjustRightInd w:val="0"/>
              <w:snapToGrid w:val="0"/>
              <w:jc w:val="left"/>
              <w:rPr>
                <w:rFonts w:hint="eastAsia" w:ascii="Times New Roman" w:hAnsi="Times New Roman" w:eastAsia="仿宋_GB2312"/>
                <w:kern w:val="0"/>
                <w:szCs w:val="21"/>
              </w:rPr>
            </w:pPr>
            <w:r>
              <w:rPr>
                <w:rFonts w:ascii="Times New Roman" w:hAnsi="Times New Roman" w:eastAsia="仿宋_GB2312"/>
                <w:kern w:val="0"/>
                <w:szCs w:val="21"/>
              </w:rPr>
              <w:t>注：</w:t>
            </w:r>
            <w:r>
              <w:rPr>
                <w:rFonts w:hint="eastAsia" w:ascii="Times New Roman" w:hAnsi="Times New Roman" w:eastAsia="仿宋_GB2312"/>
                <w:kern w:val="0"/>
                <w:szCs w:val="21"/>
              </w:rPr>
              <w:t>1.</w:t>
            </w:r>
            <w:r>
              <w:rPr>
                <w:rFonts w:ascii="Times New Roman" w:hAnsi="Times New Roman" w:eastAsia="仿宋_GB2312"/>
                <w:kern w:val="0"/>
                <w:szCs w:val="21"/>
              </w:rPr>
              <w:t>各参数计算方法参见GB/T 26926-2011 《节水型企业 石油炼制行业》</w:t>
            </w:r>
            <w:r>
              <w:rPr>
                <w:rFonts w:hint="eastAsia" w:ascii="Times New Roman" w:hAnsi="Times New Roman" w:eastAsia="仿宋_GB2312"/>
                <w:kern w:val="0"/>
                <w:szCs w:val="21"/>
              </w:rPr>
              <w:t>。</w:t>
            </w:r>
          </w:p>
          <w:p>
            <w:pPr>
              <w:adjustRightInd w:val="0"/>
              <w:snapToGrid w:val="0"/>
              <w:jc w:val="left"/>
              <w:rPr>
                <w:rFonts w:ascii="Times New Roman" w:hAnsi="Times New Roman" w:eastAsia="仿宋_GB2312"/>
                <w:kern w:val="0"/>
                <w:szCs w:val="21"/>
              </w:rPr>
            </w:pPr>
            <w:r>
              <w:rPr>
                <w:rFonts w:hint="eastAsia" w:ascii="Times New Roman" w:hAnsi="Times New Roman" w:eastAsia="仿宋_GB2312"/>
                <w:kern w:val="0"/>
                <w:szCs w:val="21"/>
              </w:rPr>
              <w:t xml:space="preserve">    2.</w:t>
            </w:r>
            <w:r>
              <w:rPr>
                <w:rFonts w:ascii="Times New Roman" w:hAnsi="Times New Roman" w:eastAsia="仿宋_GB2312"/>
                <w:kern w:val="0"/>
                <w:szCs w:val="21"/>
              </w:rPr>
              <w:t>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3"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 xml:space="preserve"> 乙烯行业技术指标自评表</w:t>
      </w:r>
    </w:p>
    <w:tbl>
      <w:tblPr>
        <w:tblStyle w:val="15"/>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41"/>
        <w:gridCol w:w="2837"/>
        <w:gridCol w:w="1909"/>
        <w:gridCol w:w="2304"/>
        <w:gridCol w:w="231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1" w:type="dxa"/>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241"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2837"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909"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2304"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31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350"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1241" w:type="dxa"/>
            <w:vMerge w:val="restart"/>
            <w:vAlign w:val="center"/>
          </w:tcPr>
          <w:p>
            <w:pPr>
              <w:adjustRightInd w:val="0"/>
              <w:snapToGrid w:val="0"/>
              <w:jc w:val="center"/>
              <w:rPr>
                <w:rFonts w:hint="eastAsia" w:ascii="Times New Roman" w:hAnsi="Times New Roman" w:eastAsia="仿宋_GB2312"/>
                <w:color w:val="000000"/>
                <w:sz w:val="24"/>
                <w:szCs w:val="24"/>
                <w:lang w:eastAsia="zh-CN"/>
              </w:rPr>
            </w:pPr>
            <w:r>
              <w:rPr>
                <w:rFonts w:ascii="Times New Roman" w:hAnsi="Times New Roman" w:eastAsia="仿宋_GB2312"/>
                <w:color w:val="000000"/>
                <w:sz w:val="24"/>
                <w:szCs w:val="24"/>
              </w:rPr>
              <w:t>取水</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单位乙烯取水量</w:t>
            </w: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≤6.5</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Merge w:val="restart"/>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bCs/>
                <w:sz w:val="24"/>
                <w:szCs w:val="24"/>
              </w:rPr>
              <w:t>化学水制取系数</w:t>
            </w: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1.1（离子交换树脂工艺）</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Merge w:val="continue"/>
            <w:vAlign w:val="center"/>
          </w:tcPr>
          <w:p>
            <w:pPr>
              <w:adjustRightInd w:val="0"/>
              <w:snapToGrid w:val="0"/>
              <w:rPr>
                <w:rFonts w:ascii="Times New Roman" w:hAnsi="Times New Roman" w:eastAsia="仿宋_GB2312"/>
                <w:color w:val="000000"/>
                <w:sz w:val="24"/>
                <w:szCs w:val="24"/>
              </w:rPr>
            </w:pP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1.25（反渗透工艺）</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241"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重复利用</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重复利用率</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≥98</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循环水浓缩倍数</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倍</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≥5</w:t>
            </w:r>
          </w:p>
        </w:tc>
        <w:tc>
          <w:tcPr>
            <w:tcW w:w="2318" w:type="dxa"/>
            <w:vAlign w:val="center"/>
          </w:tcPr>
          <w:p>
            <w:pPr>
              <w:adjustRightInd w:val="0"/>
              <w:snapToGrid w:val="0"/>
              <w:jc w:val="center"/>
              <w:rPr>
                <w:rFonts w:ascii="Times New Roman" w:hAnsi="Times New Roman" w:eastAsia="仿宋_GB2312"/>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蒸汽冷凝水回收率</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≥80</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241"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排水</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单位乙烯排水量</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≤1.8</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0" w:type="dxa"/>
            <w:gridSpan w:val="7"/>
            <w:vAlign w:val="center"/>
          </w:tcPr>
          <w:p>
            <w:pPr>
              <w:adjustRightInd w:val="0"/>
              <w:snapToGrid w:val="0"/>
              <w:jc w:val="left"/>
              <w:textAlignment w:val="baseline"/>
              <w:rPr>
                <w:rFonts w:ascii="Times New Roman" w:hAnsi="Times New Roman" w:eastAsia="仿宋_GB2312"/>
                <w:szCs w:val="21"/>
              </w:rPr>
            </w:pPr>
            <w:r>
              <w:rPr>
                <w:rFonts w:ascii="Times New Roman" w:hAnsi="Times New Roman" w:eastAsia="仿宋_GB2312"/>
                <w:szCs w:val="21"/>
              </w:rPr>
              <w:t>注</w:t>
            </w:r>
            <w:r>
              <w:rPr>
                <w:rFonts w:hint="eastAsia" w:ascii="Times New Roman" w:hAnsi="Times New Roman" w:eastAsia="仿宋_GB2312"/>
                <w:szCs w:val="21"/>
              </w:rPr>
              <w:t>：1.</w:t>
            </w:r>
            <w:r>
              <w:rPr>
                <w:rFonts w:ascii="Times New Roman" w:hAnsi="Times New Roman" w:eastAsia="仿宋_GB2312"/>
                <w:szCs w:val="21"/>
              </w:rPr>
              <w:t>各参数计算方法参见GB/T 32164-2015《节水型企业 乙烯行业》。</w:t>
            </w:r>
          </w:p>
          <w:p>
            <w:pPr>
              <w:adjustRightInd w:val="0"/>
              <w:snapToGrid w:val="0"/>
              <w:ind w:firstLine="420"/>
              <w:jc w:val="left"/>
              <w:rPr>
                <w:rFonts w:ascii="Times New Roman" w:hAnsi="Times New Roman" w:eastAsia="仿宋_GB2312"/>
                <w:sz w:val="24"/>
                <w:szCs w:val="24"/>
              </w:rPr>
            </w:pPr>
            <w:r>
              <w:rPr>
                <w:rFonts w:hint="eastAsia" w:ascii="Times New Roman" w:hAnsi="Times New Roman" w:eastAsia="仿宋_GB2312"/>
                <w:szCs w:val="21"/>
              </w:rPr>
              <w:t>2.</w:t>
            </w:r>
            <w:r>
              <w:rPr>
                <w:rFonts w:ascii="Times New Roman" w:hAnsi="Times New Roman" w:eastAsia="仿宋_GB2312"/>
                <w:szCs w:val="21"/>
              </w:rPr>
              <w:t>当企业的间接冷却水循环系统的补充水中含有污(废)水回用水时，可将循环水浓缩倍数指标按污(废)水回用水水量占补充水总量的10％递减0.1进行确定。</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4"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 xml:space="preserve"> 氯碱行业技术指标自评表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410" w:type="dxa"/>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3093" w:type="dxa"/>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176" w:type="dxa"/>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1445" w:type="dxa"/>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05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316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410" w:type="dxa"/>
            <w:vMerge w:val="restart"/>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吨烧碱取水量(30%)</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吨电石法聚氯乙烯取水量</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吨乙烯法聚氯乙烯取水量</w:t>
            </w:r>
          </w:p>
        </w:tc>
        <w:tc>
          <w:tcPr>
            <w:tcW w:w="117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≤8.6</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410" w:type="dxa"/>
            <w:vMerge w:val="restart"/>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≥96</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间接冷却水循环率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410"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410"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排水量</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达标排放率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37271-2018 《节水型企业 氯碱行业》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5"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6</w:t>
      </w:r>
      <w:r>
        <w:rPr>
          <w:rFonts w:ascii="Times New Roman" w:hAnsi="Times New Roman" w:eastAsia="仿宋_GB2312"/>
          <w:bCs/>
          <w:color w:val="000000"/>
          <w:sz w:val="32"/>
          <w:szCs w:val="32"/>
        </w:rPr>
        <w:t xml:space="preserve"> 氮肥行业技术指标自评表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95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266"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71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20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4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954"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以无烟块煤（型煤）为原料的吨合成氨取水量</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以粉煤、褐煤为原料的吨合成氨取水量</w:t>
            </w:r>
          </w:p>
        </w:tc>
        <w:tc>
          <w:tcPr>
            <w:tcW w:w="1360"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以天然气（焦炉气）为原料的吨合成氨取水量</w:t>
            </w:r>
          </w:p>
        </w:tc>
        <w:tc>
          <w:tcPr>
            <w:tcW w:w="1360"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吨尿素取水量</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954"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95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95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w:t>
            </w:r>
            <w:r>
              <w:rPr>
                <w:rFonts w:hint="eastAsia" w:ascii="Times New Roman" w:hAnsi="Times New Roman" w:eastAsia="仿宋_GB2312"/>
              </w:rPr>
              <w:t xml:space="preserve"> </w:t>
            </w:r>
            <w:r>
              <w:rPr>
                <w:rFonts w:ascii="Times New Roman" w:hAnsi="Times New Roman" w:eastAsia="仿宋_GB2312"/>
              </w:rPr>
              <w:t>36895-2018《节水型企业 氮肥行业》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6"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 xml:space="preserve"> 现代煤化工行业技术指标自评表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493"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649"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28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445"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81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9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49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煤制甲醇吨产品取水量</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≤11</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煤制乙二醇吨产品取水量</w:t>
            </w: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w:t>
            </w:r>
          </w:p>
        </w:tc>
        <w:tc>
          <w:tcPr>
            <w:tcW w:w="1289"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continue"/>
            <w:vAlign w:val="center"/>
          </w:tcPr>
          <w:p>
            <w:pPr>
              <w:adjustRightInd w:val="0"/>
              <w:snapToGrid w:val="0"/>
              <w:jc w:val="left"/>
              <w:rPr>
                <w:rFonts w:ascii="Times New Roman" w:hAnsi="Times New Roman" w:eastAsia="仿宋_GB2312"/>
                <w:sz w:val="24"/>
                <w:szCs w:val="24"/>
              </w:rPr>
            </w:pP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合成气制乙二醇</w:t>
            </w:r>
          </w:p>
        </w:tc>
        <w:tc>
          <w:tcPr>
            <w:tcW w:w="1289"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煤制油吨产品取水量</w:t>
            </w: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煤炭直接液化</w:t>
            </w:r>
          </w:p>
        </w:tc>
        <w:tc>
          <w:tcPr>
            <w:tcW w:w="128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≤6.5</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continue"/>
            <w:vAlign w:val="center"/>
          </w:tcPr>
          <w:p>
            <w:pPr>
              <w:adjustRightInd w:val="0"/>
              <w:snapToGrid w:val="0"/>
              <w:jc w:val="left"/>
              <w:rPr>
                <w:rFonts w:ascii="Times New Roman" w:hAnsi="Times New Roman" w:eastAsia="仿宋_GB2312"/>
                <w:sz w:val="24"/>
                <w:szCs w:val="24"/>
              </w:rPr>
            </w:pP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煤炭间接液化</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≤10.75</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煤制合成天然气吨产品取水量</w:t>
            </w:r>
          </w:p>
        </w:tc>
        <w:tc>
          <w:tcPr>
            <w:tcW w:w="128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/kNm</w:t>
            </w:r>
            <w:r>
              <w:rPr>
                <w:rFonts w:ascii="Times New Roman" w:hAnsi="Times New Roman" w:eastAsia="仿宋_GB2312"/>
                <w:color w:val="000000"/>
                <w:sz w:val="24"/>
                <w:szCs w:val="24"/>
                <w:vertAlign w:val="superscript"/>
              </w:rPr>
              <w:t>3</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煤制烯烃吨产品取水量</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≤24</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49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4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4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37759-2019 《节水型企业 现代煤化工行业》</w:t>
            </w:r>
            <w:r>
              <w:rPr>
                <w:rFonts w:hint="eastAsia" w:ascii="Times New Roman" w:hAnsi="Times New Roman" w:eastAsia="仿宋_GB2312"/>
              </w:rPr>
              <w:t>。</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7"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 xml:space="preserve"> 纺织染整行业技术指标自评表</w:t>
      </w:r>
    </w:p>
    <w:tbl>
      <w:tblPr>
        <w:tblStyle w:val="15"/>
        <w:tblW w:w="14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45"/>
        <w:gridCol w:w="3604"/>
        <w:gridCol w:w="1296"/>
        <w:gridCol w:w="1459"/>
        <w:gridCol w:w="279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445"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3604"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296"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1459"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795"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779"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45"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sz w:val="24"/>
              </w:rPr>
              <w:t>单位产品取水量</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棉、麻、化纤及混纺机织物</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丝绸机织物</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针织物及纱线</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≤100</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445"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重复利用</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≥45</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间接冷却水循环率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冷凝水回用率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≥98</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445" w:type="dxa"/>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用水漏损</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≤6</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8" w:type="dxa"/>
            <w:gridSpan w:val="7"/>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1.</w:t>
            </w:r>
            <w:r>
              <w:rPr>
                <w:rFonts w:ascii="Times New Roman" w:hAnsi="Times New Roman" w:eastAsia="仿宋_GB2312"/>
              </w:rPr>
              <w:t>各参数计算方法参见GB/T 26923-2011《节水型企业 纺织染整行业》。</w:t>
            </w:r>
          </w:p>
          <w:p>
            <w:pPr>
              <w:adjustRightInd w:val="0"/>
              <w:snapToGrid w:val="0"/>
              <w:ind w:firstLine="315"/>
              <w:textAlignment w:val="baseline"/>
              <w:rPr>
                <w:rFonts w:ascii="Times New Roman" w:hAnsi="Times New Roman" w:eastAsia="仿宋_GB2312"/>
              </w:rPr>
            </w:pPr>
            <w:r>
              <w:rPr>
                <w:rFonts w:hint="eastAsia" w:ascii="Times New Roman" w:hAnsi="Times New Roman" w:eastAsia="仿宋_GB2312"/>
              </w:rPr>
              <w:t xml:space="preserve"> 2.</w:t>
            </w:r>
            <w:r>
              <w:rPr>
                <w:rFonts w:ascii="Times New Roman" w:hAnsi="Times New Roman" w:eastAsia="仿宋_GB2312"/>
              </w:rPr>
              <w:t>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ascii="Times New Roman" w:hAnsi="Times New Roman" w:eastAsia="仿宋_GB2312"/>
                <w:sz w:val="24"/>
                <w:szCs w:val="24"/>
              </w:rPr>
            </w:pPr>
            <w:r>
              <w:rPr>
                <w:rFonts w:hint="eastAsia" w:ascii="Times New Roman" w:hAnsi="Times New Roman" w:eastAsia="仿宋_GB2312"/>
              </w:rPr>
              <w:t xml:space="preserve">    3.</w:t>
            </w:r>
            <w:r>
              <w:rPr>
                <w:rFonts w:ascii="Times New Roman" w:hAnsi="Times New Roman" w:eastAsia="仿宋_GB2312"/>
              </w:rPr>
              <w:t>毛织物单位产品取水量考核指标另行制定。</w:t>
            </w:r>
          </w:p>
        </w:tc>
      </w:tr>
    </w:tbl>
    <w:p>
      <w:pPr>
        <w:spacing w:after="312" w:afterLines="100" w:line="360" w:lineRule="auto"/>
        <w:jc w:val="center"/>
        <w:textAlignment w:val="baseline"/>
        <w:rPr>
          <w:rFonts w:hint="eastAsia" w:ascii="Times New Roman" w:hAnsi="Times New Roman" w:eastAsia="黑体" w:cs="黑体"/>
          <w:bCs/>
          <w:color w:val="000000"/>
          <w:sz w:val="32"/>
          <w:szCs w:val="32"/>
        </w:rPr>
        <w:sectPr>
          <w:headerReference r:id="rId18"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 xml:space="preserve"> 化纤长丝织造行业技术指标自评表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1428" w:type="dxa"/>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3133" w:type="dxa"/>
            <w:gridSpan w:val="2"/>
            <w:vAlign w:val="center"/>
          </w:tcPr>
          <w:p>
            <w:pPr>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632" w:type="dxa"/>
            <w:vAlign w:val="center"/>
          </w:tcPr>
          <w:p>
            <w:pPr>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753"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评价值</w:t>
            </w:r>
          </w:p>
        </w:tc>
        <w:tc>
          <w:tcPr>
            <w:tcW w:w="2929"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1861"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28"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单位产品取水量</w:t>
            </w:r>
          </w:p>
        </w:tc>
        <w:tc>
          <w:tcPr>
            <w:tcW w:w="1371" w:type="dxa"/>
            <w:vMerge w:val="restart"/>
            <w:vAlign w:val="center"/>
          </w:tcPr>
          <w:p>
            <w:pPr>
              <w:adjustRightInd w:val="0"/>
              <w:snapToGrid w:val="0"/>
              <w:rPr>
                <w:rFonts w:ascii="Times New Roman" w:hAnsi="Times New Roman" w:eastAsia="仿宋_GB2312"/>
                <w:sz w:val="24"/>
              </w:rPr>
            </w:pPr>
            <w:r>
              <w:rPr>
                <w:rFonts w:ascii="Times New Roman" w:hAnsi="Times New Roman" w:eastAsia="仿宋_GB2312"/>
                <w:sz w:val="24"/>
              </w:rPr>
              <w:t>喷水织造</w:t>
            </w: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涤纶长丝织物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≤0.9</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1371" w:type="dxa"/>
            <w:vMerge w:val="continue"/>
            <w:vAlign w:val="center"/>
          </w:tcPr>
          <w:p>
            <w:pPr>
              <w:adjustRightInd w:val="0"/>
              <w:snapToGrid w:val="0"/>
              <w:rPr>
                <w:rFonts w:ascii="Times New Roman" w:hAnsi="Times New Roman" w:eastAsia="仿宋_GB2312"/>
                <w:sz w:val="24"/>
              </w:rPr>
            </w:pP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锦纶长丝织物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≤0.8</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1371"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非喷水织造</w:t>
            </w: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涤纶、锦纶、人造丝织物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≤0.3</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1428"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蒸汽冷凝水回用率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≥85</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1428"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37832-2019《节水型企业 化纤长丝织造行业》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9"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10</w:t>
      </w:r>
      <w:r>
        <w:rPr>
          <w:rFonts w:ascii="Times New Roman" w:hAnsi="Times New Roman" w:eastAsia="仿宋_GB2312"/>
          <w:bCs/>
          <w:color w:val="000000"/>
          <w:sz w:val="32"/>
          <w:szCs w:val="32"/>
        </w:rPr>
        <w:t xml:space="preserve"> 造纸行业技术指标自评表</w:t>
      </w:r>
    </w:p>
    <w:tbl>
      <w:tblPr>
        <w:tblStyle w:val="15"/>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82"/>
        <w:gridCol w:w="1066"/>
        <w:gridCol w:w="834"/>
        <w:gridCol w:w="2416"/>
        <w:gridCol w:w="734"/>
        <w:gridCol w:w="1481"/>
        <w:gridCol w:w="293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b w:val="0"/>
                <w:bCs/>
                <w:color w:val="auto"/>
                <w:sz w:val="24"/>
              </w:rPr>
            </w:pPr>
            <w:r>
              <w:rPr>
                <w:rFonts w:hint="eastAsia" w:ascii="Times New Roman" w:hAnsi="Times New Roman" w:eastAsia="仿宋_GB2312"/>
                <w:b w:val="0"/>
                <w:bCs/>
                <w:color w:val="auto"/>
                <w:sz w:val="24"/>
              </w:rPr>
              <w:t>序号</w:t>
            </w:r>
          </w:p>
        </w:tc>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hint="eastAsia" w:eastAsia="仿宋_GB2312"/>
                <w:b w:val="0"/>
                <w:bCs/>
                <w:color w:val="auto"/>
                <w:sz w:val="24"/>
                <w:lang w:eastAsia="zh-CN"/>
              </w:rPr>
              <w:t>技术内容</w:t>
            </w:r>
          </w:p>
        </w:tc>
        <w:tc>
          <w:tcPr>
            <w:tcW w:w="43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技术指标</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单位</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评价</w:t>
            </w:r>
            <w:r>
              <w:rPr>
                <w:rFonts w:ascii="Times New Roman" w:hAnsi="Times New Roman" w:eastAsia="仿宋_GB2312"/>
                <w:b w:val="0"/>
                <w:bCs/>
                <w:color w:val="auto"/>
                <w:sz w:val="24"/>
              </w:rPr>
              <w:t>值</w:t>
            </w:r>
          </w:p>
        </w:tc>
        <w:tc>
          <w:tcPr>
            <w:tcW w:w="29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1</w:t>
            </w:r>
          </w:p>
        </w:tc>
        <w:tc>
          <w:tcPr>
            <w:tcW w:w="1482"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olor w:val="auto"/>
                <w:sz w:val="24"/>
                <w:lang w:val="en-US" w:eastAsia="zh-CN"/>
              </w:rPr>
            </w:pPr>
            <w:r>
              <w:rPr>
                <w:rFonts w:hint="eastAsia" w:eastAsia="仿宋_GB2312"/>
                <w:color w:val="auto"/>
                <w:sz w:val="24"/>
                <w:lang w:eastAsia="zh-CN"/>
              </w:rPr>
              <w:t>取水</w:t>
            </w:r>
          </w:p>
        </w:tc>
        <w:tc>
          <w:tcPr>
            <w:tcW w:w="106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eastAsia="仿宋_GB2312"/>
                <w:color w:val="auto"/>
                <w:sz w:val="24"/>
                <w:lang w:eastAsia="zh-CN"/>
              </w:rPr>
            </w:pPr>
            <w:r>
              <w:rPr>
                <w:rFonts w:hint="eastAsia" w:eastAsia="仿宋_GB2312"/>
                <w:color w:val="auto"/>
                <w:sz w:val="24"/>
                <w:lang w:eastAsia="zh-CN"/>
              </w:rPr>
              <w:t>单位产品取水量</w:t>
            </w:r>
            <w:r>
              <w:rPr>
                <w:rFonts w:hint="eastAsia" w:eastAsia="仿宋_GB2312"/>
                <w:color w:val="auto"/>
                <w:sz w:val="24"/>
                <w:vertAlign w:val="superscript"/>
                <w:lang w:val="en-US" w:eastAsia="zh-CN"/>
              </w:rPr>
              <w:t>a</w:t>
            </w: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纸浆</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50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hint="eastAsia" w:eastAsia="仿宋_GB2312"/>
                <w:color w:val="auto"/>
                <w:sz w:val="24"/>
                <w:lang w:eastAsia="zh-CN"/>
              </w:rPr>
              <w:t>溶解级</w:t>
            </w:r>
            <w:r>
              <w:rPr>
                <w:rFonts w:ascii="Times New Roman" w:hAnsi="Times New Roman" w:eastAsia="仿宋_GB2312"/>
                <w:color w:val="auto"/>
                <w:sz w:val="24"/>
              </w:rPr>
              <w:t>木浆</w:t>
            </w:r>
          </w:p>
        </w:tc>
        <w:tc>
          <w:tcPr>
            <w:tcW w:w="73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本色化学木浆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r>
              <w:rPr>
                <w:rFonts w:hint="eastAsia" w:eastAsia="仿宋_GB2312"/>
                <w:color w:val="auto"/>
                <w:sz w:val="24"/>
                <w:lang w:val="en-US" w:eastAsia="zh-CN"/>
              </w:rPr>
              <w:t>4</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hint="eastAsia" w:eastAsia="仿宋_GB2312"/>
                <w:color w:val="auto"/>
                <w:sz w:val="24"/>
                <w:lang w:eastAsia="zh-CN"/>
              </w:rPr>
              <w:t>溶解级竹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60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eastAsia="仿宋_GB2312"/>
                <w:color w:val="auto"/>
                <w:sz w:val="24"/>
                <w:lang w:eastAsia="zh-CN"/>
              </w:rPr>
            </w:pPr>
            <w:r>
              <w:rPr>
                <w:rFonts w:ascii="Times New Roman" w:hAnsi="Times New Roman" w:eastAsia="仿宋_GB2312"/>
                <w:color w:val="auto"/>
                <w:sz w:val="24"/>
              </w:rPr>
              <w:t>本色化学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45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漂白化学非木（麦草、芦苇、甘蔗渣）浆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7</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漂白</w:t>
            </w: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未脱墨废纸浆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≤1</w:t>
            </w:r>
            <w:r>
              <w:rPr>
                <w:rFonts w:hint="eastAsia" w:eastAsia="仿宋_GB2312"/>
                <w:color w:val="auto"/>
                <w:sz w:val="24"/>
                <w:lang w:val="en-US" w:eastAsia="zh-CN"/>
              </w:rPr>
              <w:t>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化学机械木浆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w:t>
            </w:r>
            <w:r>
              <w:rPr>
                <w:rFonts w:hint="eastAsia" w:eastAsia="仿宋_GB2312"/>
                <w:color w:val="auto"/>
                <w:sz w:val="24"/>
                <w:lang w:val="en-US" w:eastAsia="zh-CN"/>
              </w:rPr>
              <w:t>22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新闻纸</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≤1</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未涂布印刷书写纸</w:t>
            </w:r>
          </w:p>
        </w:tc>
        <w:tc>
          <w:tcPr>
            <w:tcW w:w="73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生活用纸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14</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包装用纸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纸板</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白纸板</w:t>
            </w:r>
          </w:p>
        </w:tc>
        <w:tc>
          <w:tcPr>
            <w:tcW w:w="7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箱纸板</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瓦楞原纸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2</w:t>
            </w:r>
          </w:p>
        </w:tc>
        <w:tc>
          <w:tcPr>
            <w:tcW w:w="148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hint="eastAsia" w:eastAsia="仿宋_GB2312"/>
                <w:color w:val="auto"/>
                <w:sz w:val="24"/>
                <w:lang w:eastAsia="zh-CN"/>
              </w:rPr>
              <w:t>重复利用</w:t>
            </w:r>
          </w:p>
        </w:tc>
        <w:tc>
          <w:tcPr>
            <w:tcW w:w="1900"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重复利用率</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ascii="Times New Roman" w:hAnsi="Times New Roman" w:eastAsia="仿宋_GB2312"/>
                <w:color w:val="auto"/>
                <w:sz w:val="24"/>
              </w:rPr>
              <w:t>纸浆</w:t>
            </w:r>
            <w:r>
              <w:rPr>
                <w:rFonts w:hint="eastAsia" w:eastAsia="仿宋_GB2312"/>
                <w:color w:val="auto"/>
                <w:sz w:val="24"/>
                <w:lang w:eastAsia="zh-CN"/>
              </w:rPr>
              <w:t>企业</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val="en-US" w:eastAsia="zh-CN"/>
              </w:rPr>
            </w:pPr>
            <w:r>
              <w:rPr>
                <w:rFonts w:ascii="Times New Roman" w:hAnsi="Times New Roman" w:eastAsia="仿宋_GB2312"/>
                <w:color w:val="auto"/>
                <w:sz w:val="24"/>
              </w:rPr>
              <w:t>≥7</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纸及纸板</w:t>
            </w:r>
            <w:r>
              <w:rPr>
                <w:rFonts w:hint="eastAsia" w:eastAsia="仿宋_GB2312"/>
                <w:color w:val="auto"/>
                <w:sz w:val="24"/>
                <w:lang w:eastAsia="zh-CN"/>
              </w:rPr>
              <w:t>企业</w:t>
            </w:r>
          </w:p>
        </w:tc>
        <w:tc>
          <w:tcPr>
            <w:tcW w:w="73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≥8</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浆</w:t>
            </w:r>
            <w:r>
              <w:rPr>
                <w:rFonts w:ascii="Times New Roman" w:hAnsi="Times New Roman" w:eastAsia="仿宋_GB2312"/>
                <w:color w:val="auto"/>
                <w:sz w:val="24"/>
              </w:rPr>
              <w:t>纸</w:t>
            </w:r>
            <w:r>
              <w:rPr>
                <w:rFonts w:hint="eastAsia" w:eastAsia="仿宋_GB2312"/>
                <w:color w:val="auto"/>
                <w:sz w:val="24"/>
                <w:lang w:eastAsia="zh-CN"/>
              </w:rPr>
              <w:t>联合企业</w:t>
            </w:r>
            <w:r>
              <w:rPr>
                <w:rFonts w:hint="eastAsia" w:eastAsia="仿宋_GB2312"/>
                <w:color w:val="auto"/>
                <w:sz w:val="24"/>
                <w:vertAlign w:val="superscript"/>
                <w:lang w:val="en-US" w:eastAsia="zh-CN"/>
              </w:rPr>
              <w:t>b</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90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16" w:type="dxa"/>
            <w:gridSpan w:val="9"/>
            <w:tcBorders>
              <w:left w:val="single" w:color="auto" w:sz="4" w:space="0"/>
              <w:bottom w:val="single" w:color="auto" w:sz="4" w:space="0"/>
              <w:right w:val="single" w:color="auto" w:sz="4" w:space="0"/>
            </w:tcBorders>
            <w:vAlign w:val="center"/>
          </w:tcPr>
          <w:p>
            <w:pPr>
              <w:adjustRightInd w:val="0"/>
              <w:snapToGrid w:val="0"/>
              <w:textAlignment w:val="baseline"/>
              <w:rPr>
                <w:rFonts w:hint="eastAsia" w:ascii="Times New Roman" w:hAnsi="Times New Roman" w:eastAsia="仿宋_GB2312"/>
                <w:color w:val="auto"/>
              </w:rPr>
            </w:pPr>
            <w:r>
              <w:rPr>
                <w:rFonts w:ascii="Times New Roman" w:hAnsi="Times New Roman" w:eastAsia="仿宋_GB2312"/>
                <w:szCs w:val="21"/>
              </w:rPr>
              <w:t>注：</w:t>
            </w:r>
            <w:r>
              <w:rPr>
                <w:rFonts w:hint="eastAsia" w:eastAsia="仿宋_GB2312"/>
                <w:szCs w:val="21"/>
                <w:lang w:val="en-US" w:eastAsia="zh-CN"/>
              </w:rPr>
              <w:t>1.</w:t>
            </w:r>
            <w:r>
              <w:rPr>
                <w:rFonts w:ascii="Times New Roman" w:hAnsi="Times New Roman" w:eastAsia="仿宋_GB2312"/>
                <w:szCs w:val="21"/>
              </w:rPr>
              <w:t>各</w:t>
            </w:r>
            <w:r>
              <w:rPr>
                <w:rFonts w:ascii="Times New Roman" w:hAnsi="Times New Roman" w:eastAsia="仿宋_GB2312"/>
                <w:color w:val="auto"/>
              </w:rPr>
              <w:t>参数计算方法参见GB/T 26927-20</w:t>
            </w:r>
            <w:r>
              <w:rPr>
                <w:rFonts w:hint="eastAsia" w:ascii="Times New Roman" w:hAnsi="Times New Roman" w:eastAsia="仿宋_GB2312"/>
                <w:color w:val="auto"/>
                <w:lang w:val="en-US" w:eastAsia="zh-CN"/>
              </w:rPr>
              <w:t>23</w:t>
            </w:r>
            <w:r>
              <w:rPr>
                <w:rFonts w:hint="eastAsia" w:eastAsia="仿宋_GB2312"/>
                <w:color w:val="auto"/>
                <w:lang w:val="en-US" w:eastAsia="zh-CN"/>
              </w:rPr>
              <w:t>《</w:t>
            </w:r>
            <w:r>
              <w:rPr>
                <w:rFonts w:ascii="Times New Roman" w:hAnsi="Times New Roman" w:eastAsia="仿宋_GB2312"/>
                <w:color w:val="auto"/>
              </w:rPr>
              <w:t>节水型企业 造纸行业</w:t>
            </w:r>
            <w:r>
              <w:rPr>
                <w:rFonts w:hint="eastAsia" w:eastAsia="仿宋_GB2312"/>
                <w:color w:val="auto"/>
                <w:lang w:eastAsia="zh-CN"/>
              </w:rPr>
              <w:t>》</w:t>
            </w:r>
            <w:r>
              <w:rPr>
                <w:rFonts w:hint="eastAsia" w:ascii="Times New Roman" w:hAnsi="Times New Roman" w:eastAsia="仿宋_GB2312"/>
                <w:color w:val="auto"/>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2.</w:t>
            </w:r>
            <w:r>
              <w:rPr>
                <w:rFonts w:ascii="Times New Roman" w:hAnsi="Times New Roman" w:eastAsia="仿宋_GB2312"/>
                <w:color w:val="auto"/>
              </w:rPr>
              <w:t>半化学本色木浆及半化学草浆按本色化学木浆执行</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3.</w:t>
            </w:r>
            <w:r>
              <w:rPr>
                <w:rFonts w:ascii="Times New Roman" w:hAnsi="Times New Roman" w:eastAsia="仿宋_GB2312"/>
                <w:color w:val="auto"/>
              </w:rPr>
              <w:t>机械木浆按化学机械木浆执行</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4.</w:t>
            </w:r>
            <w:r>
              <w:rPr>
                <w:rFonts w:ascii="Times New Roman" w:hAnsi="Times New Roman" w:eastAsia="仿宋_GB2312"/>
                <w:color w:val="auto"/>
              </w:rPr>
              <w:t>经抄浆机生产浆板时，在本</w:t>
            </w:r>
            <w:r>
              <w:rPr>
                <w:rFonts w:hint="eastAsia" w:eastAsia="仿宋_GB2312"/>
                <w:color w:val="auto"/>
                <w:lang w:eastAsia="zh-CN"/>
              </w:rPr>
              <w:t>文件纸浆的技术指标基础上</w:t>
            </w:r>
            <w:r>
              <w:rPr>
                <w:rFonts w:ascii="Times New Roman" w:hAnsi="Times New Roman" w:eastAsia="仿宋_GB2312"/>
                <w:color w:val="auto"/>
              </w:rPr>
              <w:t>增加</w:t>
            </w:r>
            <w:r>
              <w:rPr>
                <w:rFonts w:hint="eastAsia" w:eastAsia="仿宋_GB2312"/>
                <w:color w:val="auto"/>
                <w:lang w:val="en-US" w:eastAsia="zh-CN"/>
              </w:rPr>
              <w:t>3</w:t>
            </w:r>
            <w:r>
              <w:rPr>
                <w:rFonts w:ascii="Times New Roman" w:hAnsi="Times New Roman" w:eastAsia="仿宋_GB2312"/>
                <w:color w:val="auto"/>
              </w:rPr>
              <w:t>m</w:t>
            </w:r>
            <w:r>
              <w:rPr>
                <w:rFonts w:ascii="Times New Roman" w:hAnsi="Times New Roman" w:eastAsia="仿宋_GB2312"/>
                <w:color w:val="auto"/>
                <w:vertAlign w:val="superscript"/>
              </w:rPr>
              <w:t>3</w:t>
            </w:r>
            <w:r>
              <w:rPr>
                <w:rFonts w:ascii="Times New Roman" w:hAnsi="Times New Roman" w:eastAsia="仿宋_GB2312"/>
                <w:color w:val="auto"/>
              </w:rPr>
              <w:t>/t</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5.</w:t>
            </w:r>
            <w:r>
              <w:rPr>
                <w:rFonts w:hint="eastAsia" w:eastAsia="仿宋_GB2312"/>
                <w:color w:val="auto"/>
                <w:lang w:eastAsia="zh-CN"/>
              </w:rPr>
              <w:t>增加涂布工艺时，与本表相关产品的指标保持一致。</w:t>
            </w:r>
          </w:p>
          <w:p>
            <w:pPr>
              <w:adjustRightInd w:val="0"/>
              <w:snapToGrid w:val="0"/>
              <w:textAlignment w:val="baseline"/>
              <w:rPr>
                <w:rFonts w:hint="eastAsia" w:eastAsia="仿宋_GB2312"/>
                <w:color w:val="auto"/>
                <w:lang w:eastAsia="zh-CN"/>
              </w:rPr>
            </w:pPr>
            <w:r>
              <w:rPr>
                <w:rFonts w:hint="eastAsia" w:eastAsia="仿宋_GB2312"/>
                <w:color w:val="auto"/>
                <w:lang w:val="en-US" w:eastAsia="zh-CN"/>
              </w:rPr>
              <w:t xml:space="preserve">       </w:t>
            </w:r>
            <w:r>
              <w:rPr>
                <w:rFonts w:hint="eastAsia" w:eastAsia="仿宋_GB2312"/>
                <w:color w:val="auto"/>
                <w:lang w:eastAsia="zh-CN"/>
              </w:rPr>
              <w:t>纸浆的计量单位为吨风干浆（含水</w:t>
            </w:r>
            <w:r>
              <w:rPr>
                <w:rFonts w:hint="eastAsia" w:eastAsia="仿宋_GB2312"/>
                <w:color w:val="auto"/>
                <w:lang w:val="en-US" w:eastAsia="zh-CN"/>
              </w:rPr>
              <w:t>10%</w:t>
            </w:r>
            <w:r>
              <w:rPr>
                <w:rFonts w:hint="eastAsia" w:eastAsia="仿宋_GB2312"/>
                <w:color w:val="auto"/>
                <w:lang w:eastAsia="zh-CN"/>
              </w:rPr>
              <w:t>）。</w:t>
            </w:r>
          </w:p>
          <w:p>
            <w:pPr>
              <w:adjustRightInd w:val="0"/>
              <w:snapToGrid w:val="0"/>
              <w:textAlignment w:val="baseline"/>
              <w:rPr>
                <w:rFonts w:hint="default" w:eastAsia="仿宋_GB2312"/>
                <w:color w:val="auto"/>
                <w:lang w:val="en-US" w:eastAsia="zh-CN"/>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a </w:t>
            </w:r>
            <w:r>
              <w:rPr>
                <w:rFonts w:hint="eastAsia" w:eastAsia="仿宋_GB2312"/>
                <w:color w:val="auto"/>
                <w:lang w:val="en-US" w:eastAsia="zh-CN"/>
              </w:rPr>
              <w:t>取水量计算范围按照</w:t>
            </w:r>
            <w:r>
              <w:rPr>
                <w:rFonts w:ascii="Times New Roman" w:hAnsi="Times New Roman" w:eastAsia="仿宋_GB2312"/>
                <w:color w:val="auto"/>
              </w:rPr>
              <w:t>GB/T</w:t>
            </w:r>
            <w:r>
              <w:rPr>
                <w:rFonts w:hint="eastAsia" w:eastAsia="仿宋_GB2312"/>
                <w:color w:val="auto"/>
                <w:lang w:val="en-US" w:eastAsia="zh-CN"/>
              </w:rPr>
              <w:t>18820的规定执行。</w:t>
            </w:r>
          </w:p>
          <w:p>
            <w:pPr>
              <w:ind w:firstLine="630" w:firstLineChars="300"/>
              <w:rPr>
                <w:rFonts w:ascii="Times New Roman" w:hAnsi="Times New Roman" w:eastAsia="仿宋_GB2312"/>
                <w:color w:val="auto"/>
                <w:sz w:val="24"/>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b </w:t>
            </w:r>
            <w:r>
              <w:rPr>
                <w:rFonts w:hint="eastAsia" w:eastAsia="仿宋_GB2312"/>
                <w:color w:val="auto"/>
                <w:lang w:val="en-US" w:eastAsia="zh-CN"/>
              </w:rPr>
              <w:t>适用于同时进行纸浆、纸及纸板生产的企业。</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0"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11</w:t>
      </w:r>
      <w:r>
        <w:rPr>
          <w:rFonts w:ascii="Times New Roman" w:hAnsi="Times New Roman" w:eastAsia="仿宋_GB2312"/>
          <w:bCs/>
          <w:color w:val="000000"/>
          <w:sz w:val="32"/>
          <w:szCs w:val="32"/>
        </w:rPr>
        <w:t xml:space="preserve"> 啤酒行业技术指标自评表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2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67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660"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2680"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27" w:type="dxa"/>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取水量</w:t>
            </w: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千升啤酒取水量</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/kL</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≤4.0</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27"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≥70</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continue"/>
            <w:vAlign w:val="center"/>
          </w:tcPr>
          <w:p>
            <w:pPr>
              <w:adjustRightInd w:val="0"/>
              <w:snapToGrid w:val="0"/>
              <w:jc w:val="center"/>
              <w:rPr>
                <w:rFonts w:ascii="Times New Roman" w:hAnsi="Times New Roman" w:eastAsia="仿宋_GB2312"/>
                <w:sz w:val="24"/>
                <w:szCs w:val="24"/>
              </w:rPr>
            </w:pPr>
          </w:p>
        </w:tc>
        <w:tc>
          <w:tcPr>
            <w:tcW w:w="1227" w:type="dxa"/>
            <w:vMerge w:val="continue"/>
            <w:vAlign w:val="center"/>
          </w:tcPr>
          <w:p>
            <w:pPr>
              <w:adjustRightInd w:val="0"/>
              <w:snapToGrid w:val="0"/>
              <w:jc w:val="center"/>
              <w:rPr>
                <w:rFonts w:ascii="Times New Roman" w:hAnsi="Times New Roman" w:eastAsia="仿宋_GB2312"/>
                <w:sz w:val="24"/>
                <w:szCs w:val="24"/>
              </w:rPr>
            </w:pP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间接冷却循环率</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35576-2017《节水型企业</w:t>
            </w:r>
            <w:r>
              <w:rPr>
                <w:rFonts w:hint="eastAsia" w:eastAsia="仿宋_GB2312"/>
                <w:szCs w:val="21"/>
                <w:lang w:val="en-US" w:eastAsia="zh-CN"/>
              </w:rPr>
              <w:t xml:space="preserve"> </w:t>
            </w:r>
            <w:r>
              <w:rPr>
                <w:rFonts w:ascii="Times New Roman" w:hAnsi="Times New Roman" w:eastAsia="仿宋_GB2312"/>
                <w:szCs w:val="21"/>
              </w:rPr>
              <w:t>啤酒行业》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1"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12 </w:t>
      </w:r>
      <w:r>
        <w:rPr>
          <w:rFonts w:hint="default" w:eastAsia="仿宋_GB2312"/>
          <w:bCs/>
          <w:color w:val="000000"/>
          <w:sz w:val="32"/>
          <w:szCs w:val="32"/>
          <w:lang w:eastAsia="zh-CN"/>
        </w:rPr>
        <w:t>发酵</w:t>
      </w:r>
      <w:r>
        <w:rPr>
          <w:rFonts w:ascii="Times New Roman" w:hAnsi="Times New Roman" w:eastAsia="仿宋_GB2312"/>
          <w:bCs/>
          <w:color w:val="000000"/>
          <w:sz w:val="32"/>
          <w:szCs w:val="32"/>
        </w:rPr>
        <w:t>行业技术指标自评表</w:t>
      </w:r>
    </w:p>
    <w:tbl>
      <w:tblPr>
        <w:tblStyle w:val="15"/>
        <w:tblW w:w="14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42"/>
        <w:gridCol w:w="1016"/>
        <w:gridCol w:w="2517"/>
        <w:gridCol w:w="933"/>
        <w:gridCol w:w="1819"/>
        <w:gridCol w:w="2646"/>
        <w:gridCol w:w="2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3" w:type="dxa"/>
            <w:tcBorders>
              <w:top w:val="single" w:color="auto" w:sz="4" w:space="0"/>
              <w:left w:val="single" w:color="auto" w:sz="4" w:space="0"/>
              <w:bottom w:val="single" w:color="auto" w:sz="4" w:space="0"/>
            </w:tcBorders>
            <w:vAlign w:val="center"/>
          </w:tcPr>
          <w:p>
            <w:pPr>
              <w:adjustRightInd w:val="0"/>
              <w:snapToGrid w:val="0"/>
              <w:jc w:val="center"/>
              <w:rPr>
                <w:rFonts w:hint="eastAsia" w:ascii="Times New Roman" w:hAnsi="Times New Roman" w:eastAsia="仿宋_GB2312"/>
                <w:b w:val="0"/>
                <w:bCs/>
                <w:color w:val="auto"/>
                <w:sz w:val="24"/>
                <w:szCs w:val="24"/>
              </w:rPr>
            </w:pPr>
            <w:r>
              <w:rPr>
                <w:rFonts w:hint="eastAsia" w:ascii="Times New Roman" w:hAnsi="Times New Roman" w:eastAsia="仿宋_GB2312"/>
                <w:b w:val="0"/>
                <w:bCs/>
                <w:color w:val="auto"/>
                <w:sz w:val="24"/>
                <w:szCs w:val="24"/>
              </w:rPr>
              <w:t>序号</w:t>
            </w:r>
          </w:p>
        </w:tc>
        <w:tc>
          <w:tcPr>
            <w:tcW w:w="1242" w:type="dxa"/>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lang w:eastAsia="zh-CN"/>
              </w:rPr>
              <w:t>技术内容</w:t>
            </w:r>
          </w:p>
        </w:tc>
        <w:tc>
          <w:tcPr>
            <w:tcW w:w="3533" w:type="dxa"/>
            <w:gridSpan w:val="2"/>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w:t>
            </w:r>
            <w:r>
              <w:rPr>
                <w:rFonts w:ascii="Times New Roman" w:hAnsi="Times New Roman" w:eastAsia="仿宋_GB2312"/>
                <w:b w:val="0"/>
                <w:bCs/>
                <w:color w:val="auto"/>
                <w:sz w:val="24"/>
                <w:szCs w:val="24"/>
              </w:rPr>
              <w:t>指标</w:t>
            </w:r>
          </w:p>
        </w:tc>
        <w:tc>
          <w:tcPr>
            <w:tcW w:w="933" w:type="dxa"/>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ascii="Times New Roman" w:hAnsi="Times New Roman" w:eastAsia="仿宋_GB2312"/>
                <w:b w:val="0"/>
                <w:bCs/>
                <w:color w:val="auto"/>
                <w:sz w:val="24"/>
                <w:szCs w:val="24"/>
              </w:rPr>
              <w:t>单位</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szCs w:val="24"/>
                <w:lang w:val="en-US" w:eastAsia="zh-CN"/>
              </w:rPr>
              <w:t>评价</w:t>
            </w:r>
            <w:r>
              <w:rPr>
                <w:rFonts w:ascii="Times New Roman" w:hAnsi="Times New Roman" w:eastAsia="仿宋_GB2312"/>
                <w:b w:val="0"/>
                <w:bCs/>
                <w:color w:val="auto"/>
                <w:sz w:val="24"/>
                <w:szCs w:val="24"/>
              </w:rPr>
              <w:t>值</w:t>
            </w:r>
          </w:p>
        </w:tc>
        <w:tc>
          <w:tcPr>
            <w:tcW w:w="2646"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2608"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p>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1</w:t>
            </w:r>
          </w:p>
        </w:tc>
        <w:tc>
          <w:tcPr>
            <w:tcW w:w="1242"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hint="eastAsia" w:eastAsia="仿宋_GB2312"/>
                <w:color w:val="auto"/>
                <w:sz w:val="24"/>
                <w:szCs w:val="24"/>
                <w:lang w:eastAsia="zh-CN"/>
              </w:rPr>
              <w:t>取水</w:t>
            </w:r>
          </w:p>
        </w:tc>
        <w:tc>
          <w:tcPr>
            <w:tcW w:w="1016"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单位产品取水量</w:t>
            </w:r>
            <w:r>
              <w:rPr>
                <w:rFonts w:hint="eastAsia" w:eastAsia="仿宋_GB2312"/>
                <w:color w:val="auto"/>
                <w:sz w:val="24"/>
                <w:szCs w:val="24"/>
                <w:vertAlign w:val="superscript"/>
                <w:lang w:val="en-US" w:eastAsia="zh-CN"/>
              </w:rPr>
              <w:t>a</w:t>
            </w:r>
          </w:p>
        </w:tc>
        <w:tc>
          <w:tcPr>
            <w:tcW w:w="2517" w:type="dxa"/>
            <w:tcBorders>
              <w:top w:val="single" w:color="auto" w:sz="4" w:space="0"/>
              <w:bottom w:val="single" w:color="auto" w:sz="4" w:space="0"/>
            </w:tcBorders>
            <w:vAlign w:val="center"/>
          </w:tcPr>
          <w:p>
            <w:pPr>
              <w:adjustRightInd w:val="0"/>
              <w:snapToGrid w:val="0"/>
              <w:rPr>
                <w:rFonts w:hint="default" w:ascii="Times New Roman" w:hAnsi="Times New Roman" w:eastAsia="仿宋_GB2312"/>
                <w:color w:val="auto"/>
                <w:sz w:val="24"/>
                <w:szCs w:val="24"/>
                <w:lang w:val="en-US" w:eastAsia="zh-CN"/>
              </w:rPr>
            </w:pPr>
            <w:r>
              <w:rPr>
                <w:rFonts w:hint="eastAsia" w:eastAsia="仿宋_GB2312"/>
                <w:color w:val="auto"/>
                <w:sz w:val="24"/>
                <w:szCs w:val="24"/>
                <w:lang w:eastAsia="zh-CN"/>
              </w:rPr>
              <w:t>谷氨酸钠（味精）</w:t>
            </w:r>
            <w:r>
              <w:rPr>
                <w:rFonts w:hint="eastAsia" w:eastAsia="仿宋_GB2312"/>
                <w:color w:val="auto"/>
                <w:sz w:val="24"/>
                <w:szCs w:val="24"/>
                <w:vertAlign w:val="superscript"/>
                <w:lang w:val="en-US" w:eastAsia="zh-CN"/>
              </w:rPr>
              <w:t>b</w:t>
            </w:r>
          </w:p>
        </w:tc>
        <w:tc>
          <w:tcPr>
            <w:tcW w:w="933"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m</w:t>
            </w:r>
            <w:r>
              <w:rPr>
                <w:rFonts w:ascii="Times New Roman" w:hAnsi="Times New Roman" w:eastAsia="仿宋_GB2312"/>
                <w:color w:val="auto"/>
                <w:sz w:val="24"/>
                <w:szCs w:val="24"/>
                <w:vertAlign w:val="superscript"/>
              </w:rPr>
              <w:t>3</w:t>
            </w:r>
            <w:r>
              <w:rPr>
                <w:rFonts w:ascii="Times New Roman" w:hAnsi="Times New Roman" w:eastAsia="仿宋_GB2312"/>
                <w:color w:val="auto"/>
                <w:sz w:val="24"/>
                <w:szCs w:val="24"/>
              </w:rPr>
              <w:t>/t</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赖氨酸钠盐</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hint="eastAsia" w:eastAsia="仿宋_GB2312"/>
                <w:color w:val="auto"/>
                <w:sz w:val="24"/>
                <w:szCs w:val="24"/>
                <w:lang w:eastAsia="zh-CN"/>
              </w:rPr>
              <w:t>赖氨酸硫酸盐</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苏氨酸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16</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色氨酸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丙氨酸</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缬氨酸</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酪氨酸</w:t>
            </w:r>
            <w:r>
              <w:rPr>
                <w:rFonts w:hint="eastAsia" w:eastAsia="仿宋_GB2312"/>
                <w:color w:val="auto"/>
                <w:sz w:val="24"/>
                <w:szCs w:val="24"/>
                <w:vertAlign w:val="superscript"/>
                <w:lang w:val="en-US" w:eastAsia="zh-CN"/>
              </w:rPr>
              <w:t>d</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柠檬酸</w:t>
            </w:r>
            <w:r>
              <w:rPr>
                <w:rFonts w:hint="eastAsia" w:eastAsia="仿宋_GB2312"/>
                <w:color w:val="auto"/>
                <w:sz w:val="24"/>
                <w:szCs w:val="24"/>
                <w:vertAlign w:val="superscript"/>
                <w:lang w:val="en-US" w:eastAsia="zh-CN"/>
              </w:rPr>
              <w:t>b,e</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乳酸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17</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葡萄糖酸钠</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s="Times New Roman"/>
                <w:color w:val="auto"/>
                <w:kern w:val="2"/>
                <w:sz w:val="24"/>
                <w:szCs w:val="24"/>
                <w:lang w:val="en-US" w:eastAsia="zh-CN" w:bidi="ar-SA"/>
              </w:rPr>
            </w:pPr>
            <w:r>
              <w:rPr>
                <w:rFonts w:hint="eastAsia" w:eastAsia="仿宋_GB2312"/>
                <w:color w:val="auto"/>
                <w:sz w:val="24"/>
                <w:szCs w:val="24"/>
                <w:lang w:eastAsia="zh-CN"/>
              </w:rPr>
              <w:t>葡萄糖浆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果葡糖浆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一水葡萄糖</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结晶果糖</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麦芽糊精</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山梨糖醇（液体）</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山梨糖醇（固体，固形物含量</w:t>
            </w:r>
            <w:r>
              <w:rPr>
                <w:rFonts w:hint="eastAsia" w:eastAsia="仿宋_GB2312"/>
                <w:color w:val="auto"/>
                <w:sz w:val="24"/>
                <w:szCs w:val="24"/>
                <w:lang w:val="en-US" w:eastAsia="zh-CN"/>
              </w:rPr>
              <w:t>70%</w:t>
            </w:r>
            <w:r>
              <w:rPr>
                <w:rFonts w:hint="eastAsia" w:eastAsia="仿宋_GB2312"/>
                <w:color w:val="auto"/>
                <w:sz w:val="24"/>
                <w:szCs w:val="24"/>
                <w:lang w:eastAsia="zh-CN"/>
              </w:rPr>
              <w:t>）</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黄原胶</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50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酵母制品（干酵母）</w:t>
            </w:r>
            <w:r>
              <w:rPr>
                <w:rFonts w:hint="eastAsia" w:eastAsia="仿宋_GB2312"/>
                <w:color w:val="auto"/>
                <w:sz w:val="24"/>
                <w:szCs w:val="24"/>
                <w:vertAlign w:val="superscript"/>
                <w:lang w:val="en-US" w:eastAsia="zh-CN"/>
              </w:rPr>
              <w:t>f</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70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酵母制品（鲜酵母、酵母乳）</w:t>
            </w:r>
            <w:r>
              <w:rPr>
                <w:rFonts w:hint="eastAsia" w:eastAsia="仿宋_GB2312"/>
                <w:color w:val="auto"/>
                <w:sz w:val="24"/>
                <w:szCs w:val="24"/>
                <w:vertAlign w:val="superscript"/>
                <w:lang w:val="en-US" w:eastAsia="zh-CN"/>
              </w:rPr>
              <w:t>f,g</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75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1016" w:type="dxa"/>
            <w:vMerge w:val="continue"/>
            <w:tcBorders>
              <w:bottom w:val="single" w:color="auto" w:sz="4" w:space="0"/>
            </w:tcBorders>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酵母衍生制品</w:t>
            </w:r>
            <w:r>
              <w:rPr>
                <w:rFonts w:hint="eastAsia" w:eastAsia="仿宋_GB2312"/>
                <w:color w:val="auto"/>
                <w:sz w:val="24"/>
                <w:szCs w:val="24"/>
                <w:vertAlign w:val="superscript"/>
                <w:lang w:val="en-US" w:eastAsia="zh-CN"/>
              </w:rPr>
              <w:t>h</w:t>
            </w:r>
          </w:p>
        </w:tc>
        <w:tc>
          <w:tcPr>
            <w:tcW w:w="933" w:type="dxa"/>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2258" w:type="dxa"/>
            <w:gridSpan w:val="2"/>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重复利用</w:t>
            </w: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重复利用率</w:t>
            </w:r>
          </w:p>
        </w:tc>
        <w:tc>
          <w:tcPr>
            <w:tcW w:w="933"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2258" w:type="dxa"/>
            <w:gridSpan w:val="2"/>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间接冷却水循环率</w:t>
            </w:r>
          </w:p>
        </w:tc>
        <w:tc>
          <w:tcPr>
            <w:tcW w:w="933" w:type="dxa"/>
            <w:vMerge w:val="continue"/>
            <w:vAlign w:val="center"/>
          </w:tcPr>
          <w:p>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tcBorders>
              <w:top w:val="single" w:color="auto" w:sz="4" w:space="0"/>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3</w:t>
            </w:r>
          </w:p>
        </w:tc>
        <w:tc>
          <w:tcPr>
            <w:tcW w:w="2258" w:type="dxa"/>
            <w:gridSpan w:val="2"/>
            <w:tcBorders>
              <w:top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用水漏损</w:t>
            </w: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用水综合漏失率</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1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outlineLvl w:val="9"/>
              <w:rPr>
                <w:rFonts w:hint="default" w:ascii="Times New Roman" w:hAnsi="Times New Roman" w:eastAsia="仿宋_GB2312"/>
                <w:color w:val="auto"/>
                <w:szCs w:val="21"/>
              </w:rPr>
            </w:pPr>
            <w:r>
              <w:rPr>
                <w:rFonts w:ascii="Times New Roman" w:hAnsi="Times New Roman" w:eastAsia="仿宋_GB2312"/>
                <w:szCs w:val="21"/>
              </w:rPr>
              <w:t>注</w:t>
            </w:r>
            <w:r>
              <w:rPr>
                <w:rFonts w:hint="default" w:eastAsia="仿宋_GB2312"/>
                <w:color w:val="auto"/>
                <w:szCs w:val="21"/>
                <w:lang w:val="en-US" w:eastAsia="zh-CN"/>
              </w:rPr>
              <w:t>：各参数计算方法参见GB/T 32165-2023</w:t>
            </w:r>
            <w:r>
              <w:rPr>
                <w:rFonts w:hint="eastAsia" w:eastAsia="仿宋_GB2312"/>
                <w:color w:val="auto"/>
                <w:szCs w:val="21"/>
                <w:lang w:val="en-US" w:eastAsia="zh-CN"/>
              </w:rPr>
              <w:t>《</w:t>
            </w:r>
            <w:r>
              <w:rPr>
                <w:rFonts w:hint="default" w:eastAsia="仿宋_GB2312"/>
                <w:color w:val="auto"/>
                <w:szCs w:val="21"/>
                <w:lang w:val="en-US" w:eastAsia="zh-CN"/>
              </w:rPr>
              <w:t>节水型企业 发酵行业</w:t>
            </w:r>
            <w:r>
              <w:rPr>
                <w:rFonts w:hint="eastAsia" w:eastAsia="仿宋_GB2312"/>
                <w:color w:val="auto"/>
                <w:szCs w:val="21"/>
                <w:lang w:val="en-US" w:eastAsia="zh-CN"/>
              </w:rPr>
              <w:t>》</w:t>
            </w:r>
            <w:r>
              <w:rPr>
                <w:rFonts w:hint="default" w:ascii="Times New Roman" w:hAnsi="Times New Roman" w:eastAsia="仿宋_GB2312"/>
                <w:color w:val="auto"/>
                <w:szCs w:val="21"/>
              </w:rPr>
              <w:t>。</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a 取水量计算范围按照GB/T18820的规定执行。</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b 原料为玉米。</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c 原料为淀粉。</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d 原料为葡萄糖。</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e 产品产量折一水柠檬酸计。</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f 原料为蜜糖、淀粉质。</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g 产品产量折一干酵母计。</w:t>
            </w:r>
          </w:p>
          <w:p>
            <w:pPr>
              <w:adjustRightInd w:val="0"/>
              <w:snapToGrid w:val="0"/>
              <w:ind w:firstLine="420" w:firstLineChars="200"/>
              <w:jc w:val="left"/>
              <w:rPr>
                <w:rFonts w:ascii="Times New Roman" w:hAnsi="Times New Roman" w:eastAsia="仿宋_GB2312"/>
                <w:color w:val="auto"/>
                <w:sz w:val="24"/>
                <w:szCs w:val="24"/>
              </w:rPr>
            </w:pPr>
            <w:r>
              <w:rPr>
                <w:rFonts w:hint="eastAsia" w:eastAsia="仿宋_GB2312"/>
                <w:color w:val="auto"/>
                <w:lang w:val="en-US" w:eastAsia="zh-CN"/>
              </w:rPr>
              <w:t>h 原料为酵母。</w:t>
            </w:r>
          </w:p>
        </w:tc>
      </w:tr>
    </w:tbl>
    <w:p>
      <w:pPr>
        <w:spacing w:line="360" w:lineRule="auto"/>
        <w:ind w:firstLine="560" w:firstLineChars="200"/>
        <w:textAlignment w:val="baseline"/>
        <w:rPr>
          <w:rFonts w:ascii="Times New Roman" w:hAnsi="Times New Roman" w:eastAsia="仿宋_GB2312"/>
          <w:b w:val="0"/>
          <w:color w:val="auto"/>
          <w:sz w:val="28"/>
          <w:szCs w:val="28"/>
        </w:rPr>
      </w:pPr>
    </w:p>
    <w:p>
      <w:pPr>
        <w:spacing w:line="360" w:lineRule="auto"/>
        <w:ind w:firstLine="560" w:firstLineChars="200"/>
        <w:textAlignment w:val="baseline"/>
        <w:rPr>
          <w:rFonts w:ascii="Times New Roman" w:hAnsi="Times New Roman" w:eastAsia="仿宋_GB2312"/>
          <w:b w:val="0"/>
          <w:color w:val="auto"/>
          <w:sz w:val="28"/>
          <w:szCs w:val="28"/>
        </w:rPr>
        <w:sectPr>
          <w:headerReference r:id="rId22"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13 氧化铝行业技术指标自评表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98"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015"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991"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97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拜耳法考核值</w:t>
            </w:r>
          </w:p>
        </w:tc>
        <w:tc>
          <w:tcPr>
            <w:tcW w:w="1045"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烧结法考核值</w:t>
            </w:r>
          </w:p>
        </w:tc>
        <w:tc>
          <w:tcPr>
            <w:tcW w:w="107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联合法考核值</w:t>
            </w:r>
          </w:p>
        </w:tc>
        <w:tc>
          <w:tcPr>
            <w:tcW w:w="3873" w:type="dxa"/>
            <w:gridSpan w:val="2"/>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116"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vAlign w:val="center"/>
          </w:tcPr>
          <w:p>
            <w:pPr>
              <w:adjustRightInd w:val="0"/>
              <w:snapToGrid w:val="0"/>
              <w:jc w:val="center"/>
              <w:rPr>
                <w:rFonts w:ascii="Times New Roman" w:hAnsi="Times New Roman"/>
              </w:rPr>
            </w:pPr>
          </w:p>
        </w:tc>
        <w:tc>
          <w:tcPr>
            <w:tcW w:w="1298" w:type="dxa"/>
            <w:vMerge w:val="continue"/>
            <w:vAlign w:val="center"/>
          </w:tcPr>
          <w:p>
            <w:pPr>
              <w:adjustRightInd w:val="0"/>
              <w:snapToGrid w:val="0"/>
              <w:jc w:val="center"/>
              <w:rPr>
                <w:rFonts w:ascii="Times New Roman" w:hAnsi="Times New Roman"/>
              </w:rPr>
            </w:pPr>
          </w:p>
        </w:tc>
        <w:tc>
          <w:tcPr>
            <w:tcW w:w="2015" w:type="dxa"/>
            <w:vMerge w:val="continue"/>
            <w:vAlign w:val="center"/>
          </w:tcPr>
          <w:p>
            <w:pPr>
              <w:adjustRightInd w:val="0"/>
              <w:snapToGrid w:val="0"/>
              <w:jc w:val="center"/>
              <w:rPr>
                <w:rFonts w:ascii="Times New Roman" w:hAnsi="Times New Roman"/>
              </w:rPr>
            </w:pPr>
          </w:p>
        </w:tc>
        <w:tc>
          <w:tcPr>
            <w:tcW w:w="991" w:type="dxa"/>
            <w:vMerge w:val="continue"/>
            <w:vAlign w:val="center"/>
          </w:tcPr>
          <w:p>
            <w:pPr>
              <w:adjustRightInd w:val="0"/>
              <w:snapToGrid w:val="0"/>
              <w:jc w:val="center"/>
              <w:rPr>
                <w:rFonts w:ascii="Times New Roman" w:hAnsi="Times New Roman"/>
              </w:rPr>
            </w:pPr>
          </w:p>
        </w:tc>
        <w:tc>
          <w:tcPr>
            <w:tcW w:w="974" w:type="dxa"/>
            <w:vMerge w:val="continue"/>
            <w:vAlign w:val="center"/>
          </w:tcPr>
          <w:p>
            <w:pPr>
              <w:adjustRightInd w:val="0"/>
              <w:snapToGrid w:val="0"/>
              <w:jc w:val="center"/>
              <w:rPr>
                <w:rFonts w:ascii="Times New Roman" w:hAnsi="Times New Roman"/>
              </w:rPr>
            </w:pPr>
          </w:p>
        </w:tc>
        <w:tc>
          <w:tcPr>
            <w:tcW w:w="1045" w:type="dxa"/>
            <w:vMerge w:val="continue"/>
            <w:vAlign w:val="center"/>
          </w:tcPr>
          <w:p>
            <w:pPr>
              <w:adjustRightInd w:val="0"/>
              <w:snapToGrid w:val="0"/>
              <w:jc w:val="center"/>
              <w:rPr>
                <w:rFonts w:ascii="Times New Roman" w:hAnsi="Times New Roman"/>
              </w:rPr>
            </w:pPr>
          </w:p>
        </w:tc>
        <w:tc>
          <w:tcPr>
            <w:tcW w:w="1074" w:type="dxa"/>
            <w:vMerge w:val="continue"/>
            <w:vAlign w:val="center"/>
          </w:tcPr>
          <w:p>
            <w:pPr>
              <w:adjustRightInd w:val="0"/>
              <w:snapToGrid w:val="0"/>
              <w:jc w:val="center"/>
              <w:rPr>
                <w:rFonts w:ascii="Times New Roman" w:hAnsi="Times New Roman"/>
              </w:rPr>
            </w:pPr>
          </w:p>
        </w:tc>
        <w:tc>
          <w:tcPr>
            <w:tcW w:w="149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采用方法</w:t>
            </w:r>
          </w:p>
        </w:tc>
        <w:tc>
          <w:tcPr>
            <w:tcW w:w="2377"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结果</w:t>
            </w:r>
          </w:p>
        </w:tc>
        <w:tc>
          <w:tcPr>
            <w:tcW w:w="2116"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单位氧化铝产品取水量</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≤3.0</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9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vAlign w:val="center"/>
          </w:tcPr>
          <w:p>
            <w:pPr>
              <w:adjustRightInd w:val="0"/>
              <w:snapToGrid w:val="0"/>
              <w:jc w:val="center"/>
              <w:rPr>
                <w:rFonts w:ascii="Times New Roman" w:hAnsi="Times New Roman" w:eastAsia="仿宋_GB2312"/>
                <w:sz w:val="24"/>
                <w:szCs w:val="24"/>
              </w:rPr>
            </w:pPr>
          </w:p>
        </w:tc>
        <w:tc>
          <w:tcPr>
            <w:tcW w:w="1298" w:type="dxa"/>
            <w:vMerge w:val="continue"/>
            <w:vAlign w:val="center"/>
          </w:tcPr>
          <w:p>
            <w:pPr>
              <w:adjustRightInd w:val="0"/>
              <w:snapToGrid w:val="0"/>
              <w:jc w:val="center"/>
              <w:rPr>
                <w:rFonts w:ascii="Times New Roman" w:hAnsi="Times New Roman" w:eastAsia="仿宋_GB2312"/>
                <w:sz w:val="24"/>
                <w:szCs w:val="24"/>
              </w:rPr>
            </w:pP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33232-2016《节水型企业 氧化铝行业》</w:t>
            </w:r>
            <w:r>
              <w:rPr>
                <w:rFonts w:hint="eastAsia" w:ascii="Times New Roman" w:hAnsi="Times New Roman" w:eastAsia="仿宋_GB2312"/>
                <w:szCs w:val="21"/>
              </w:rPr>
              <w:t>。</w:t>
            </w:r>
          </w:p>
        </w:tc>
        <w:tc>
          <w:tcPr>
            <w:tcW w:w="2116" w:type="dxa"/>
            <w:vAlign w:val="center"/>
          </w:tcPr>
          <w:p>
            <w:pPr>
              <w:adjustRightInd w:val="0"/>
              <w:snapToGrid w:val="0"/>
              <w:rPr>
                <w:rFonts w:ascii="Times New Roman" w:hAnsi="Times New Roman" w:eastAsia="仿宋_GB2312"/>
                <w:szCs w:val="21"/>
              </w:rPr>
            </w:pP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3"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14 电解铝行业技术指标自评表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371"/>
        <w:gridCol w:w="2832"/>
        <w:gridCol w:w="2428"/>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6"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5"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7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832"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42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30"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6"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335"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单位电解铝取水量</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电解原铝液</w:t>
            </w:r>
            <w:r>
              <w:rPr>
                <w:rFonts w:hint="eastAsia" w:eastAsia="仿宋_GB2312"/>
                <w:sz w:val="24"/>
                <w:szCs w:val="24"/>
                <w:lang w:val="en-US" w:eastAsia="zh-CN"/>
              </w:rPr>
              <w:t xml:space="preserve"> </w:t>
            </w:r>
            <w:r>
              <w:rPr>
                <w:rFonts w:ascii="Times New Roman" w:hAnsi="Times New Roman" w:eastAsia="仿宋_GB2312"/>
                <w:sz w:val="24"/>
                <w:szCs w:val="24"/>
              </w:rPr>
              <w:t>≤</w:t>
            </w:r>
            <w:r>
              <w:rPr>
                <w:rFonts w:hint="eastAsia" w:eastAsia="仿宋_GB2312"/>
                <w:sz w:val="24"/>
                <w:szCs w:val="24"/>
                <w:lang w:val="en-US" w:eastAsia="zh-CN"/>
              </w:rPr>
              <w:t xml:space="preserve"> 0.8</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6" w:type="dxa"/>
            <w:vMerge w:val="continue"/>
            <w:vAlign w:val="center"/>
          </w:tcPr>
          <w:p>
            <w:pPr>
              <w:adjustRightInd w:val="0"/>
              <w:snapToGrid w:val="0"/>
              <w:jc w:val="center"/>
              <w:rPr>
                <w:rFonts w:ascii="Times New Roman" w:hAnsi="Times New Roman" w:eastAsia="仿宋_GB2312"/>
                <w:sz w:val="24"/>
                <w:szCs w:val="24"/>
              </w:rPr>
            </w:pPr>
          </w:p>
        </w:tc>
        <w:tc>
          <w:tcPr>
            <w:tcW w:w="2335" w:type="dxa"/>
            <w:vMerge w:val="continue"/>
            <w:vAlign w:val="center"/>
          </w:tcPr>
          <w:p>
            <w:pPr>
              <w:adjustRightInd w:val="0"/>
              <w:snapToGrid w:val="0"/>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重熔用铝锭</w:t>
            </w:r>
            <w:r>
              <w:rPr>
                <w:rFonts w:hint="eastAsia" w:eastAsia="仿宋_GB2312"/>
                <w:sz w:val="24"/>
                <w:szCs w:val="24"/>
                <w:lang w:val="en-US" w:eastAsia="zh-CN"/>
              </w:rPr>
              <w:t xml:space="preserve"> </w:t>
            </w:r>
            <w:r>
              <w:rPr>
                <w:rFonts w:ascii="Times New Roman" w:hAnsi="Times New Roman" w:eastAsia="仿宋_GB2312"/>
                <w:sz w:val="24"/>
                <w:szCs w:val="24"/>
              </w:rPr>
              <w:t>≤</w:t>
            </w:r>
            <w:r>
              <w:rPr>
                <w:rFonts w:hint="eastAsia" w:eastAsia="仿宋_GB2312"/>
                <w:sz w:val="24"/>
                <w:szCs w:val="24"/>
                <w:lang w:val="en-US" w:eastAsia="zh-CN"/>
              </w:rPr>
              <w:t xml:space="preserve"> 1.1</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6" w:type="dxa"/>
            <w:vMerge w:val="continue"/>
            <w:vAlign w:val="center"/>
          </w:tcPr>
          <w:p>
            <w:pPr>
              <w:adjustRightInd w:val="0"/>
              <w:snapToGrid w:val="0"/>
              <w:jc w:val="center"/>
              <w:rPr>
                <w:rFonts w:ascii="Times New Roman" w:hAnsi="Times New Roman" w:eastAsia="仿宋_GB2312"/>
                <w:sz w:val="24"/>
                <w:szCs w:val="24"/>
              </w:rPr>
            </w:pPr>
          </w:p>
        </w:tc>
        <w:tc>
          <w:tcPr>
            <w:tcW w:w="2335" w:type="dxa"/>
            <w:vMerge w:val="continue"/>
            <w:vAlign w:val="center"/>
          </w:tcPr>
          <w:p>
            <w:pPr>
              <w:adjustRightInd w:val="0"/>
              <w:snapToGrid w:val="0"/>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电解烟气深度净化</w:t>
            </w:r>
            <w:r>
              <w:rPr>
                <w:rFonts w:hint="eastAsia" w:eastAsia="仿宋_GB2312"/>
                <w:sz w:val="24"/>
                <w:szCs w:val="24"/>
                <w:lang w:val="en-US" w:eastAsia="zh-CN"/>
              </w:rPr>
              <w:t xml:space="preserve"> </w:t>
            </w:r>
            <w:r>
              <w:rPr>
                <w:rFonts w:ascii="Times New Roman" w:hAnsi="Times New Roman" w:eastAsia="仿宋_GB2312"/>
                <w:sz w:val="24"/>
                <w:szCs w:val="24"/>
              </w:rPr>
              <w:t xml:space="preserve">≤ </w:t>
            </w:r>
            <w:r>
              <w:rPr>
                <w:rFonts w:hint="eastAsia" w:eastAsia="仿宋_GB2312"/>
                <w:sz w:val="24"/>
                <w:szCs w:val="24"/>
                <w:lang w:val="en-US" w:eastAsia="zh-CN"/>
              </w:rPr>
              <w:t>2.0</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832" w:type="dxa"/>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 9</w:t>
            </w:r>
            <w:r>
              <w:rPr>
                <w:rFonts w:hint="eastAsia" w:eastAsia="仿宋_GB2312"/>
                <w:sz w:val="24"/>
                <w:szCs w:val="24"/>
                <w:lang w:val="en-US" w:eastAsia="zh-CN"/>
              </w:rPr>
              <w:t>6</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33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832"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6</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33233-20</w:t>
            </w:r>
            <w:r>
              <w:rPr>
                <w:rFonts w:hint="eastAsia" w:eastAsia="仿宋_GB2312"/>
                <w:szCs w:val="21"/>
                <w:lang w:val="en-US" w:eastAsia="zh-CN"/>
              </w:rPr>
              <w:t>23</w:t>
            </w:r>
            <w:r>
              <w:rPr>
                <w:rFonts w:ascii="Times New Roman" w:hAnsi="Times New Roman" w:eastAsia="仿宋_GB2312"/>
                <w:szCs w:val="21"/>
              </w:rPr>
              <w:t>《节水型企业 电解铝行业》</w:t>
            </w:r>
            <w:r>
              <w:rPr>
                <w:rFonts w:hint="eastAsia" w:ascii="Times New Roman" w:hAnsi="Times New Roman" w:eastAsia="仿宋_GB2312"/>
                <w:szCs w:val="21"/>
              </w:rPr>
              <w:t>。</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4"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15 多晶硅行业技术指标自评表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98"/>
        <w:gridCol w:w="2413"/>
        <w:gridCol w:w="1164"/>
        <w:gridCol w:w="1988"/>
        <w:gridCol w:w="3323"/>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59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41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16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98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323"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05"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单位多晶硅取水量</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80</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98</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2.54</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排水</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单位多晶硅排水量</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36</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3"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38907-2020《节水型企业 多晶硅行业》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5"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16 船舶</w:t>
      </w:r>
      <w:r>
        <w:rPr>
          <w:rFonts w:hint="eastAsia" w:eastAsia="仿宋_GB2312"/>
          <w:bCs/>
          <w:color w:val="000000"/>
          <w:sz w:val="32"/>
          <w:szCs w:val="32"/>
          <w:lang w:eastAsia="zh-CN"/>
        </w:rPr>
        <w:t>制造</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pPr>
              <w:adjustRightInd w:val="0"/>
              <w:snapToGrid w:val="0"/>
              <w:rPr>
                <w:rFonts w:hint="eastAsia" w:ascii="Times New Roman" w:hAnsi="Times New Roman" w:eastAsia="仿宋_GB2312"/>
                <w:sz w:val="24"/>
                <w:szCs w:val="24"/>
              </w:rPr>
            </w:pPr>
            <w:r>
              <w:rPr>
                <w:rFonts w:hint="eastAsia" w:ascii="Times New Roman" w:hAnsi="Times New Roman" w:eastAsia="仿宋_GB2312"/>
                <w:sz w:val="24"/>
                <w:szCs w:val="24"/>
              </w:rPr>
              <w:t>金属船舶单位修正总吨取水量</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3.0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75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rPr>
            </w:pPr>
            <w:r>
              <w:rPr>
                <w:rFonts w:ascii="Times New Roman" w:hAnsi="Times New Roman" w:eastAsia="仿宋_GB2312"/>
                <w:sz w:val="24"/>
                <w:szCs w:val="24"/>
              </w:rPr>
              <w:t>≤ 2.</w:t>
            </w:r>
            <w:r>
              <w:rPr>
                <w:rFonts w:hint="eastAsia" w:ascii="Times New Roman" w:hAnsi="Times New Roman" w:eastAsia="仿宋_GB2312"/>
                <w:sz w:val="24"/>
                <w:szCs w:val="24"/>
              </w:rPr>
              <w:t>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37332-2019《节水型企业 船舶行业》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6"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17 铁矿采选行业技术指标自评表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31"/>
        <w:gridCol w:w="1549"/>
        <w:gridCol w:w="2031"/>
        <w:gridCol w:w="1093"/>
        <w:gridCol w:w="1348"/>
        <w:gridCol w:w="232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2731"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54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工艺流程</w:t>
            </w:r>
          </w:p>
        </w:tc>
        <w:tc>
          <w:tcPr>
            <w:tcW w:w="203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9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34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326"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20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磁铁矿选矿工艺取水量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0.65</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赤铁矿选矿工艺取水量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混合矿选矿工艺取水量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露天采矿工艺取水量</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吨采剥量取水量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0.003</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地下采矿工艺取水量</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吨出矿水量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0.04</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5</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63"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w:t>
            </w:r>
            <w:r>
              <w:rPr>
                <w:rFonts w:hint="eastAsia" w:ascii="Times New Roman" w:hAnsi="Times New Roman" w:eastAsia="仿宋_GB2312"/>
                <w:szCs w:val="21"/>
              </w:rPr>
              <w:t>4608</w:t>
            </w:r>
            <w:r>
              <w:rPr>
                <w:rFonts w:ascii="Times New Roman" w:hAnsi="Times New Roman" w:eastAsia="仿宋_GB2312"/>
                <w:szCs w:val="21"/>
              </w:rPr>
              <w:t>-201</w:t>
            </w:r>
            <w:r>
              <w:rPr>
                <w:rFonts w:hint="eastAsia" w:ascii="Times New Roman" w:hAnsi="Times New Roman" w:eastAsia="仿宋_GB2312"/>
                <w:szCs w:val="21"/>
              </w:rPr>
              <w:t>7</w:t>
            </w:r>
            <w:r>
              <w:rPr>
                <w:rFonts w:ascii="Times New Roman" w:hAnsi="Times New Roman" w:eastAsia="仿宋_GB2312"/>
                <w:szCs w:val="21"/>
              </w:rPr>
              <w:t>《节水型企业 铁矿采选行业》</w:t>
            </w:r>
            <w:r>
              <w:rPr>
                <w:rFonts w:hint="eastAsia" w:ascii="Times New Roman" w:hAnsi="Times New Roman" w:eastAsia="仿宋_GB2312"/>
                <w:szCs w:val="21"/>
              </w:rPr>
              <w:t>。</w:t>
            </w:r>
          </w:p>
        </w:tc>
      </w:tr>
    </w:tbl>
    <w:p>
      <w:pPr>
        <w:spacing w:line="360" w:lineRule="auto"/>
        <w:ind w:firstLine="560" w:firstLineChars="200"/>
        <w:textAlignment w:val="baseline"/>
        <w:rPr>
          <w:rFonts w:hint="eastAsia" w:ascii="Times New Roman" w:hAnsi="Times New Roman" w:eastAsia="仿宋_GB2312" w:cs="仿宋_GB2312"/>
          <w:b w:val="0"/>
          <w:color w:val="000000"/>
          <w:sz w:val="28"/>
          <w:szCs w:val="28"/>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8</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平板玻璃</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单位产品取水量</w:t>
            </w:r>
          </w:p>
        </w:tc>
        <w:tc>
          <w:tcPr>
            <w:tcW w:w="1420" w:type="dxa"/>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w:t>
            </w:r>
            <w:r>
              <w:rPr>
                <w:rFonts w:hint="eastAsia" w:eastAsia="仿宋_GB2312"/>
                <w:sz w:val="24"/>
                <w:szCs w:val="24"/>
                <w:lang w:eastAsia="zh-CN"/>
              </w:rPr>
              <w:t>重量箱</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2695-2022《节水型企业 平板玻璃行业</w:t>
            </w:r>
            <w:r>
              <w:rPr>
                <w:rFonts w:hint="eastAsia" w:eastAsia="仿宋_GB2312"/>
                <w:szCs w:val="21"/>
                <w:lang w:eastAsia="zh-CN"/>
              </w:rPr>
              <w:t>》</w:t>
            </w:r>
            <w:r>
              <w:rPr>
                <w:rFonts w:hint="eastAsia" w:ascii="Times New Roman" w:hAnsi="Times New Roman" w:eastAsia="仿宋_GB2312"/>
                <w:szCs w:val="21"/>
              </w:rPr>
              <w:t>。</w:t>
            </w:r>
          </w:p>
        </w:tc>
      </w:tr>
    </w:tbl>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9</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水泥</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905"/>
        <w:gridCol w:w="1169"/>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1905" w:type="dxa"/>
            <w:vMerge w:val="restart"/>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单位产品取水量</w:t>
            </w:r>
          </w:p>
        </w:tc>
        <w:tc>
          <w:tcPr>
            <w:tcW w:w="1169"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熟料</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0.330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1905" w:type="dxa"/>
            <w:vMerge w:val="continue"/>
            <w:vAlign w:val="center"/>
          </w:tcPr>
          <w:p>
            <w:pPr>
              <w:adjustRightInd w:val="0"/>
              <w:snapToGrid w:val="0"/>
              <w:rPr>
                <w:rFonts w:hint="eastAsia" w:ascii="Times New Roman" w:hAnsi="Times New Roman" w:eastAsia="仿宋_GB2312"/>
                <w:sz w:val="24"/>
                <w:szCs w:val="24"/>
              </w:rPr>
            </w:pPr>
          </w:p>
        </w:tc>
        <w:tc>
          <w:tcPr>
            <w:tcW w:w="1169"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水泥</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0.027</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2694-2022《节水型企业 水泥行业》</w:t>
            </w:r>
            <w:r>
              <w:rPr>
                <w:rFonts w:hint="eastAsia" w:ascii="Times New Roman" w:hAnsi="Times New Roman" w:eastAsia="仿宋_GB2312"/>
                <w:szCs w:val="21"/>
              </w:rPr>
              <w:t>。</w:t>
            </w:r>
          </w:p>
        </w:tc>
      </w:tr>
    </w:tbl>
    <w:p>
      <w:pPr>
        <w:pStyle w:val="2"/>
        <w:rPr>
          <w:rFonts w:hint="eastAsia"/>
        </w:rPr>
      </w:pPr>
    </w:p>
    <w:p>
      <w:pPr>
        <w:pStyle w:val="3"/>
        <w:rPr>
          <w:rFonts w:hint="eastAsia"/>
        </w:rPr>
      </w:pPr>
    </w:p>
    <w:p>
      <w:pPr>
        <w:rPr>
          <w:rFonts w:hint="eastAsia"/>
        </w:rPr>
      </w:pPr>
    </w:p>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3-20</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铅冶炼</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267"/>
        <w:gridCol w:w="1807"/>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取水</w:t>
            </w:r>
            <w:r>
              <w:rPr>
                <w:rFonts w:hint="eastAsia" w:eastAsia="仿宋_GB2312"/>
                <w:sz w:val="24"/>
                <w:szCs w:val="24"/>
                <w:lang w:eastAsia="zh-CN"/>
              </w:rPr>
              <w:t>量</w:t>
            </w:r>
          </w:p>
        </w:tc>
        <w:tc>
          <w:tcPr>
            <w:tcW w:w="1267" w:type="dxa"/>
            <w:vMerge w:val="restart"/>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单位产品取水量</w:t>
            </w:r>
          </w:p>
        </w:tc>
        <w:tc>
          <w:tcPr>
            <w:tcW w:w="1807" w:type="dxa"/>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铅精矿</w:t>
            </w:r>
            <w:r>
              <w:rPr>
                <w:rFonts w:hint="eastAsia" w:eastAsia="仿宋_GB2312"/>
                <w:sz w:val="24"/>
                <w:szCs w:val="24"/>
                <w:lang w:val="en-US" w:eastAsia="zh-CN"/>
              </w:rPr>
              <w:t>-粗铅</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r>
              <w:rPr>
                <w:rFonts w:hint="eastAsia" w:eastAsia="仿宋_GB2312"/>
                <w:sz w:val="24"/>
                <w:szCs w:val="24"/>
                <w:lang w:val="en-US" w:eastAsia="zh-CN"/>
              </w:rPr>
              <w:t>粗铅</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3</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1267" w:type="dxa"/>
            <w:vMerge w:val="continue"/>
            <w:vAlign w:val="center"/>
          </w:tcPr>
          <w:p>
            <w:pPr>
              <w:adjustRightInd w:val="0"/>
              <w:snapToGrid w:val="0"/>
              <w:rPr>
                <w:rFonts w:hint="eastAsia" w:ascii="Times New Roman" w:hAnsi="Times New Roman" w:eastAsia="仿宋_GB2312"/>
                <w:sz w:val="24"/>
                <w:szCs w:val="24"/>
              </w:rPr>
            </w:pPr>
          </w:p>
        </w:tc>
        <w:tc>
          <w:tcPr>
            <w:tcW w:w="1807"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铅精矿</w:t>
            </w:r>
            <w:r>
              <w:rPr>
                <w:rFonts w:hint="eastAsia" w:eastAsia="仿宋_GB2312"/>
                <w:sz w:val="24"/>
                <w:szCs w:val="24"/>
                <w:lang w:val="en-US" w:eastAsia="zh-CN"/>
              </w:rPr>
              <w:t>-电解铅</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r>
              <w:rPr>
                <w:rFonts w:hint="eastAsia" w:eastAsia="仿宋_GB2312"/>
                <w:sz w:val="24"/>
                <w:szCs w:val="24"/>
                <w:lang w:val="en-US" w:eastAsia="zh-CN"/>
              </w:rPr>
              <w:t>电解铅</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3.6</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98</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废水回用率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eastAsia="仿宋_GB2312"/>
                <w:sz w:val="24"/>
                <w:szCs w:val="24"/>
                <w:lang w:val="en-US" w:eastAsia="zh-CN"/>
              </w:rPr>
              <w:t>99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排水</w:t>
            </w: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单位产品排水量</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达标排放率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100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YS/T 1587-2022</w:t>
            </w:r>
            <w:r>
              <w:rPr>
                <w:rFonts w:hint="eastAsia" w:eastAsia="仿宋_GB2312"/>
                <w:szCs w:val="21"/>
                <w:lang w:eastAsia="zh-CN"/>
              </w:rPr>
              <w:t>《</w:t>
            </w:r>
            <w:r>
              <w:rPr>
                <w:rFonts w:hint="eastAsia" w:eastAsia="仿宋_GB2312"/>
                <w:szCs w:val="21"/>
              </w:rPr>
              <w:t>节水型企业 铅冶炼行业</w:t>
            </w:r>
            <w:r>
              <w:rPr>
                <w:rFonts w:hint="eastAsia" w:eastAsia="仿宋_GB2312"/>
                <w:szCs w:val="21"/>
                <w:lang w:eastAsia="zh-CN"/>
              </w:rPr>
              <w:t>》</w:t>
            </w:r>
            <w:r>
              <w:rPr>
                <w:rFonts w:hint="eastAsia" w:ascii="Times New Roman" w:hAnsi="Times New Roman" w:eastAsia="仿宋_GB2312"/>
                <w:szCs w:val="21"/>
              </w:rPr>
              <w:t>。</w:t>
            </w:r>
          </w:p>
        </w:tc>
      </w:tr>
    </w:tbl>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3-21</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锌冶炼</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2292"/>
        <w:gridCol w:w="1013"/>
        <w:gridCol w:w="2473"/>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2292"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1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473"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取水</w:t>
            </w:r>
            <w:r>
              <w:rPr>
                <w:rFonts w:hint="eastAsia" w:eastAsia="仿宋_GB2312"/>
                <w:sz w:val="24"/>
                <w:szCs w:val="24"/>
                <w:lang w:eastAsia="zh-CN"/>
              </w:rPr>
              <w:t>量</w:t>
            </w:r>
          </w:p>
        </w:tc>
        <w:tc>
          <w:tcPr>
            <w:tcW w:w="2292" w:type="dxa"/>
            <w:vMerge w:val="restart"/>
            <w:vAlign w:val="center"/>
          </w:tcPr>
          <w:p>
            <w:pPr>
              <w:adjustRightInd w:val="0"/>
              <w:snapToGrid w:val="0"/>
              <w:jc w:val="left"/>
              <w:rPr>
                <w:rFonts w:hint="eastAsia" w:ascii="Times New Roman" w:hAnsi="Times New Roman" w:eastAsia="仿宋_GB2312"/>
                <w:sz w:val="24"/>
                <w:szCs w:val="24"/>
                <w:lang w:val="en-US" w:eastAsia="zh-CN"/>
              </w:rPr>
            </w:pPr>
            <w:r>
              <w:rPr>
                <w:rFonts w:hint="eastAsia" w:eastAsia="仿宋_GB2312"/>
                <w:sz w:val="24"/>
                <w:szCs w:val="24"/>
                <w:lang w:val="en-US" w:eastAsia="zh-CN"/>
              </w:rPr>
              <w:t>单位锌产品取水量</w:t>
            </w:r>
          </w:p>
        </w:tc>
        <w:tc>
          <w:tcPr>
            <w:tcW w:w="101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火法炼锌（锌精矿-蒸馏锌产品）：</w:t>
            </w:r>
            <w:r>
              <w:rPr>
                <w:rFonts w:ascii="Times New Roman" w:hAnsi="Times New Roman" w:eastAsia="仿宋_GB2312"/>
                <w:sz w:val="24"/>
                <w:szCs w:val="24"/>
              </w:rPr>
              <w:t xml:space="preserve">≤ </w:t>
            </w:r>
            <w:r>
              <w:rPr>
                <w:rFonts w:hint="eastAsia" w:eastAsia="仿宋_GB2312"/>
                <w:sz w:val="24"/>
                <w:szCs w:val="24"/>
                <w:lang w:val="en-US" w:eastAsia="zh-CN"/>
              </w:rPr>
              <w:t>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Merge w:val="continue"/>
            <w:vAlign w:val="center"/>
          </w:tcPr>
          <w:p>
            <w:pPr>
              <w:adjustRightInd w:val="0"/>
              <w:snapToGrid w:val="0"/>
              <w:rPr>
                <w:rFonts w:hint="eastAsia" w:ascii="Times New Roman" w:hAnsi="Times New Roman" w:eastAsia="仿宋_GB2312"/>
                <w:sz w:val="24"/>
                <w:szCs w:val="24"/>
                <w:lang w:eastAsia="zh-CN"/>
              </w:rPr>
            </w:pPr>
          </w:p>
        </w:tc>
        <w:tc>
          <w:tcPr>
            <w:tcW w:w="1013" w:type="dxa"/>
            <w:vMerge w:val="continue"/>
            <w:vAlign w:val="center"/>
          </w:tcPr>
          <w:p>
            <w:pPr>
              <w:adjustRightInd w:val="0"/>
              <w:snapToGrid w:val="0"/>
              <w:jc w:val="center"/>
              <w:rPr>
                <w:rFonts w:ascii="Times New Roman" w:hAnsi="Times New Roman" w:eastAsia="仿宋_GB2312"/>
                <w:sz w:val="24"/>
                <w:szCs w:val="24"/>
              </w:rPr>
            </w:pP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湿法炼锌（锌精矿-电解锌产品）：</w:t>
            </w:r>
            <w:r>
              <w:rPr>
                <w:rFonts w:ascii="Times New Roman" w:hAnsi="Times New Roman" w:eastAsia="仿宋_GB2312"/>
                <w:sz w:val="24"/>
                <w:szCs w:val="24"/>
              </w:rPr>
              <w:t xml:space="preserve">≤ </w:t>
            </w:r>
            <w:r>
              <w:rPr>
                <w:rFonts w:hint="eastAsia" w:eastAsia="仿宋_GB2312"/>
                <w:sz w:val="24"/>
                <w:szCs w:val="24"/>
                <w:lang w:val="en-US" w:eastAsia="zh-CN"/>
              </w:rPr>
              <w:t>10.5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292"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96</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废水回用率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eastAsia="仿宋_GB2312"/>
                <w:sz w:val="24"/>
                <w:szCs w:val="24"/>
                <w:lang w:val="en-US" w:eastAsia="zh-CN"/>
              </w:rPr>
              <w:t>99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排水</w:t>
            </w: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达标排放率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100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单位产品排水量</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YS/T 2694-2022</w:t>
            </w:r>
            <w:r>
              <w:rPr>
                <w:rFonts w:hint="eastAsia" w:eastAsia="仿宋_GB2312"/>
                <w:szCs w:val="21"/>
                <w:lang w:eastAsia="zh-CN"/>
              </w:rPr>
              <w:t>《</w:t>
            </w:r>
            <w:r>
              <w:rPr>
                <w:rFonts w:hint="eastAsia" w:eastAsia="仿宋_GB2312"/>
                <w:szCs w:val="21"/>
              </w:rPr>
              <w:t>节水型企业 锌冶炼行业</w:t>
            </w:r>
            <w:r>
              <w:rPr>
                <w:rFonts w:hint="eastAsia" w:eastAsia="仿宋_GB2312"/>
                <w:szCs w:val="21"/>
                <w:lang w:eastAsia="zh-CN"/>
              </w:rPr>
              <w:t>》</w:t>
            </w:r>
            <w:r>
              <w:rPr>
                <w:rFonts w:hint="eastAsia" w:ascii="Times New Roman" w:hAnsi="Times New Roman" w:eastAsia="仿宋_GB2312"/>
                <w:szCs w:val="21"/>
              </w:rPr>
              <w:t>。</w:t>
            </w:r>
          </w:p>
        </w:tc>
      </w:tr>
    </w:tbl>
    <w:p>
      <w:pPr>
        <w:pStyle w:val="3"/>
        <w:rPr>
          <w:rFonts w:hint="eastAsia"/>
          <w:sz w:val="20"/>
          <w:szCs w:val="20"/>
        </w:rPr>
      </w:pPr>
    </w:p>
    <w:sectPr>
      <w:headerReference r:id="rId2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5Igu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jkiC7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48"/>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lvl>
    <w:lvl w:ilvl="2" w:tentative="0">
      <w:start w:val="1"/>
      <w:numFmt w:val="decimal"/>
      <w:lvlText w:val="%1.%2.%3"/>
      <w:lvlJc w:val="left"/>
      <w:pPr>
        <w:tabs>
          <w:tab w:val="left" w:pos="1103"/>
        </w:tabs>
        <w:ind w:left="1103" w:hanging="567"/>
      </w:pPr>
    </w:lvl>
    <w:lvl w:ilvl="3" w:tentative="0">
      <w:start w:val="1"/>
      <w:numFmt w:val="decimal"/>
      <w:lvlText w:val="%1.%2.%3.%4"/>
      <w:lvlJc w:val="left"/>
      <w:pPr>
        <w:tabs>
          <w:tab w:val="left" w:pos="1669"/>
        </w:tabs>
        <w:ind w:left="1669" w:hanging="708"/>
      </w:pPr>
    </w:lvl>
    <w:lvl w:ilvl="4" w:tentative="0">
      <w:start w:val="1"/>
      <w:numFmt w:val="decimal"/>
      <w:lvlText w:val="%1.%2.%3.%4.%5"/>
      <w:lvlJc w:val="left"/>
      <w:pPr>
        <w:tabs>
          <w:tab w:val="left" w:pos="2236"/>
        </w:tabs>
        <w:ind w:left="2236" w:hanging="850"/>
      </w:pPr>
    </w:lvl>
    <w:lvl w:ilvl="5" w:tentative="0">
      <w:start w:val="1"/>
      <w:numFmt w:val="decimal"/>
      <w:lvlText w:val="%1.%2.%3.%4.%5.%6"/>
      <w:lvlJc w:val="left"/>
      <w:pPr>
        <w:tabs>
          <w:tab w:val="left" w:pos="2945"/>
        </w:tabs>
        <w:ind w:left="2945" w:hanging="1134"/>
      </w:pPr>
    </w:lvl>
    <w:lvl w:ilvl="6" w:tentative="0">
      <w:start w:val="1"/>
      <w:numFmt w:val="decimal"/>
      <w:lvlText w:val="%1.%2.%3.%4.%5.%6.%7"/>
      <w:lvlJc w:val="left"/>
      <w:pPr>
        <w:tabs>
          <w:tab w:val="left" w:pos="3512"/>
        </w:tabs>
        <w:ind w:left="3512" w:hanging="1276"/>
      </w:pPr>
    </w:lvl>
    <w:lvl w:ilvl="7" w:tentative="0">
      <w:start w:val="1"/>
      <w:numFmt w:val="decimal"/>
      <w:lvlText w:val="%1.%2.%3.%4.%5.%6.%7.%8"/>
      <w:lvlJc w:val="left"/>
      <w:pPr>
        <w:tabs>
          <w:tab w:val="left" w:pos="4079"/>
        </w:tabs>
        <w:ind w:left="4079" w:hanging="1418"/>
      </w:pPr>
    </w:lvl>
    <w:lvl w:ilvl="8" w:tentative="0">
      <w:start w:val="1"/>
      <w:numFmt w:val="decimal"/>
      <w:lvlText w:val="%1.%2.%3.%4.%5.%6.%7.%8.%9"/>
      <w:lvlJc w:val="left"/>
      <w:pPr>
        <w:tabs>
          <w:tab w:val="left" w:pos="4787"/>
        </w:tabs>
        <w:ind w:left="4787" w:hanging="1700"/>
      </w:pPr>
    </w:lvl>
  </w:abstractNum>
  <w:abstractNum w:abstractNumId="2">
    <w:nsid w:val="00000004"/>
    <w:multiLevelType w:val="multilevel"/>
    <w:tmpl w:val="00000004"/>
    <w:lvl w:ilvl="0" w:tentative="0">
      <w:start w:val="0"/>
      <w:numFmt w:val="none"/>
      <w:pStyle w:val="53"/>
      <w:lvlText w:val=""/>
      <w:lvlJc w:val="left"/>
      <w:pPr>
        <w:tabs>
          <w:tab w:val="left" w:pos="360"/>
        </w:tabs>
        <w:ind w:left="0" w:firstLine="0"/>
      </w:pPr>
    </w:lvl>
    <w:lvl w:ilvl="1" w:tentative="0">
      <w:start w:val="1"/>
      <w:numFmt w:val="decimal"/>
      <w:pStyle w:val="23"/>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00000005"/>
    <w:multiLevelType w:val="multilevel"/>
    <w:tmpl w:val="00000005"/>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0000006"/>
    <w:multiLevelType w:val="multilevel"/>
    <w:tmpl w:val="00000006"/>
    <w:lvl w:ilvl="0" w:tentative="0">
      <w:start w:val="1"/>
      <w:numFmt w:val="upperLetter"/>
      <w:pStyle w:val="47"/>
      <w:suff w:val="nothing"/>
      <w:lvlText w:val="附　录　%1"/>
      <w:lvlJc w:val="left"/>
      <w:pPr>
        <w:ind w:left="4769" w:firstLine="0"/>
      </w:pPr>
      <w:rPr>
        <w:rFonts w:hint="eastAsia" w:ascii="黑体" w:hAnsi="Times New Roman" w:eastAsia="黑体"/>
        <w:b w:val="0"/>
        <w:i w:val="0"/>
        <w:spacing w:val="0"/>
        <w:w w:val="100"/>
        <w:sz w:val="21"/>
      </w:rPr>
    </w:lvl>
    <w:lvl w:ilvl="1" w:tentative="0">
      <w:start w:val="1"/>
      <w:numFmt w:val="decimal"/>
      <w:pStyle w:val="32"/>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D1226"/>
    <w:rsid w:val="001E55C6"/>
    <w:rsid w:val="001F66C4"/>
    <w:rsid w:val="00285662"/>
    <w:rsid w:val="00286467"/>
    <w:rsid w:val="002F1DBF"/>
    <w:rsid w:val="002F3885"/>
    <w:rsid w:val="003044BA"/>
    <w:rsid w:val="003367A4"/>
    <w:rsid w:val="00367D88"/>
    <w:rsid w:val="00384005"/>
    <w:rsid w:val="00397E48"/>
    <w:rsid w:val="003D4BC8"/>
    <w:rsid w:val="00401DB8"/>
    <w:rsid w:val="00407654"/>
    <w:rsid w:val="004109C5"/>
    <w:rsid w:val="00423F6B"/>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80491F"/>
    <w:rsid w:val="00873F0C"/>
    <w:rsid w:val="0087522C"/>
    <w:rsid w:val="0088001B"/>
    <w:rsid w:val="008C67BD"/>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21F67"/>
    <w:rsid w:val="00B24514"/>
    <w:rsid w:val="00B31073"/>
    <w:rsid w:val="00B35A25"/>
    <w:rsid w:val="00B4665D"/>
    <w:rsid w:val="00B573BE"/>
    <w:rsid w:val="00B66378"/>
    <w:rsid w:val="00B70B65"/>
    <w:rsid w:val="00B72B60"/>
    <w:rsid w:val="00B800BC"/>
    <w:rsid w:val="00B967E3"/>
    <w:rsid w:val="00BA3FE7"/>
    <w:rsid w:val="00C56D42"/>
    <w:rsid w:val="00C747F4"/>
    <w:rsid w:val="00CB458A"/>
    <w:rsid w:val="00CC143D"/>
    <w:rsid w:val="00D41F11"/>
    <w:rsid w:val="00D758CC"/>
    <w:rsid w:val="00DC7A14"/>
    <w:rsid w:val="00DF5746"/>
    <w:rsid w:val="00DF7FCD"/>
    <w:rsid w:val="00E01A8E"/>
    <w:rsid w:val="00E66C97"/>
    <w:rsid w:val="00E73A53"/>
    <w:rsid w:val="00E75E2E"/>
    <w:rsid w:val="00EC222D"/>
    <w:rsid w:val="00EC6B8E"/>
    <w:rsid w:val="00EE3A14"/>
    <w:rsid w:val="00F249BF"/>
    <w:rsid w:val="00F42CBB"/>
    <w:rsid w:val="00F437C3"/>
    <w:rsid w:val="00F43986"/>
    <w:rsid w:val="00F62235"/>
    <w:rsid w:val="00F63DC1"/>
    <w:rsid w:val="00F6618F"/>
    <w:rsid w:val="00FA60EA"/>
    <w:rsid w:val="00FE44F1"/>
    <w:rsid w:val="0159255F"/>
    <w:rsid w:val="01CA0862"/>
    <w:rsid w:val="08814300"/>
    <w:rsid w:val="090E7854"/>
    <w:rsid w:val="0999150F"/>
    <w:rsid w:val="0D8E2F8A"/>
    <w:rsid w:val="0E4100A6"/>
    <w:rsid w:val="12DB284C"/>
    <w:rsid w:val="14C64E08"/>
    <w:rsid w:val="15F3690F"/>
    <w:rsid w:val="16A53E12"/>
    <w:rsid w:val="1EBB7020"/>
    <w:rsid w:val="1FAFF985"/>
    <w:rsid w:val="20A82C42"/>
    <w:rsid w:val="21112296"/>
    <w:rsid w:val="2AA92A94"/>
    <w:rsid w:val="2C9445D8"/>
    <w:rsid w:val="34874A10"/>
    <w:rsid w:val="34D54F99"/>
    <w:rsid w:val="34F2DDCB"/>
    <w:rsid w:val="36190E45"/>
    <w:rsid w:val="374641AD"/>
    <w:rsid w:val="375F8364"/>
    <w:rsid w:val="37F90ABA"/>
    <w:rsid w:val="38E701FD"/>
    <w:rsid w:val="3A2A49FB"/>
    <w:rsid w:val="3AEE09CE"/>
    <w:rsid w:val="3BFEF3A7"/>
    <w:rsid w:val="3DBBC335"/>
    <w:rsid w:val="3FE3289C"/>
    <w:rsid w:val="41314FEA"/>
    <w:rsid w:val="4B121E77"/>
    <w:rsid w:val="4BAB61F0"/>
    <w:rsid w:val="4FD5AC1A"/>
    <w:rsid w:val="513F307F"/>
    <w:rsid w:val="543D640F"/>
    <w:rsid w:val="55005A82"/>
    <w:rsid w:val="57BFDBEA"/>
    <w:rsid w:val="587A494C"/>
    <w:rsid w:val="5ADF8E17"/>
    <w:rsid w:val="5BBF4E84"/>
    <w:rsid w:val="5D666C36"/>
    <w:rsid w:val="5EF6454D"/>
    <w:rsid w:val="6147691B"/>
    <w:rsid w:val="61CA1D14"/>
    <w:rsid w:val="63FFF6A4"/>
    <w:rsid w:val="66343DB7"/>
    <w:rsid w:val="66BD1746"/>
    <w:rsid w:val="67EBE389"/>
    <w:rsid w:val="69422E30"/>
    <w:rsid w:val="69502D4F"/>
    <w:rsid w:val="6D3C33D5"/>
    <w:rsid w:val="6E753E9B"/>
    <w:rsid w:val="6F560974"/>
    <w:rsid w:val="736B1220"/>
    <w:rsid w:val="73FC37A1"/>
    <w:rsid w:val="77279C65"/>
    <w:rsid w:val="77B88D32"/>
    <w:rsid w:val="77DF6540"/>
    <w:rsid w:val="77EB7E3B"/>
    <w:rsid w:val="78E01D39"/>
    <w:rsid w:val="79FFB7D8"/>
    <w:rsid w:val="7AFE34D3"/>
    <w:rsid w:val="7BBD7664"/>
    <w:rsid w:val="7BBF35BD"/>
    <w:rsid w:val="7C214098"/>
    <w:rsid w:val="7D361182"/>
    <w:rsid w:val="7DF90190"/>
    <w:rsid w:val="7EB714A1"/>
    <w:rsid w:val="7F7F4AB4"/>
    <w:rsid w:val="7FBD0B20"/>
    <w:rsid w:val="7FBF5635"/>
    <w:rsid w:val="7FC9B535"/>
    <w:rsid w:val="7FFD4C5C"/>
    <w:rsid w:val="A7FF2D34"/>
    <w:rsid w:val="B2FD5950"/>
    <w:rsid w:val="B370CC9E"/>
    <w:rsid w:val="B7FFC7BC"/>
    <w:rsid w:val="B97F2D48"/>
    <w:rsid w:val="BBCF03B5"/>
    <w:rsid w:val="BFEFF042"/>
    <w:rsid w:val="D3FE3D78"/>
    <w:rsid w:val="DDEC14A1"/>
    <w:rsid w:val="DEDD85B2"/>
    <w:rsid w:val="DF5FC20A"/>
    <w:rsid w:val="DF7E0168"/>
    <w:rsid w:val="EBDFEA30"/>
    <w:rsid w:val="F36D717B"/>
    <w:rsid w:val="F5CF630C"/>
    <w:rsid w:val="F5FF2681"/>
    <w:rsid w:val="F7FF135F"/>
    <w:rsid w:val="F7FF33FC"/>
    <w:rsid w:val="F7FF4458"/>
    <w:rsid w:val="F81B2222"/>
    <w:rsid w:val="F9FFB892"/>
    <w:rsid w:val="FBEF09B2"/>
    <w:rsid w:val="FC15BBE5"/>
    <w:rsid w:val="FDCB6BE3"/>
    <w:rsid w:val="FDCF1F6F"/>
    <w:rsid w:val="FED6A84A"/>
    <w:rsid w:val="FEE73C59"/>
    <w:rsid w:val="FEFD977E"/>
    <w:rsid w:val="FEFF60FD"/>
    <w:rsid w:val="FF6EAD4E"/>
    <w:rsid w:val="FF7FB042"/>
    <w:rsid w:val="FFBDA235"/>
    <w:rsid w:val="FFEFC477"/>
    <w:rsid w:val="FFF724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3"/>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styleId="5">
    <w:name w:val="heading 2"/>
    <w:basedOn w:val="1"/>
    <w:next w:val="1"/>
    <w:link w:val="68"/>
    <w:qFormat/>
    <w:uiPriority w:val="0"/>
    <w:pPr>
      <w:keepNext/>
      <w:keepLines/>
      <w:spacing w:before="260" w:beforeLines="0" w:after="260" w:afterLines="0" w:line="408" w:lineRule="auto"/>
      <w:outlineLvl w:val="1"/>
    </w:pPr>
    <w:rPr>
      <w:rFonts w:ascii="Calibri Light" w:hAnsi="Calibri Light"/>
      <w:b/>
      <w:bCs/>
      <w:kern w:val="0"/>
      <w:sz w:val="32"/>
      <w:szCs w:val="32"/>
    </w:rPr>
  </w:style>
  <w:style w:type="paragraph" w:styleId="6">
    <w:name w:val="heading 3"/>
    <w:basedOn w:val="1"/>
    <w:next w:val="1"/>
    <w:link w:val="62"/>
    <w:qFormat/>
    <w:uiPriority w:val="0"/>
    <w:pPr>
      <w:keepNext/>
      <w:keepLines/>
      <w:spacing w:before="260" w:beforeLines="0" w:after="260" w:afterLines="0" w:line="408" w:lineRule="auto"/>
      <w:outlineLvl w:val="2"/>
    </w:pPr>
    <w:rPr>
      <w:rFonts w:ascii="Times New Roman" w:hAnsi="Times New Roman"/>
      <w:b/>
      <w:bCs/>
      <w:kern w:val="0"/>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Document Map"/>
    <w:basedOn w:val="1"/>
    <w:link w:val="74"/>
    <w:qFormat/>
    <w:uiPriority w:val="0"/>
    <w:rPr>
      <w:rFonts w:ascii="宋体"/>
      <w:sz w:val="18"/>
      <w:szCs w:val="18"/>
    </w:rPr>
  </w:style>
  <w:style w:type="paragraph" w:styleId="8">
    <w:name w:val="annotation text"/>
    <w:basedOn w:val="1"/>
    <w:link w:val="57"/>
    <w:qFormat/>
    <w:uiPriority w:val="0"/>
    <w:pPr>
      <w:jc w:val="left"/>
    </w:pPr>
    <w:rPr>
      <w:rFonts w:ascii="Times New Roman" w:hAnsi="Times New Roman"/>
      <w:kern w:val="0"/>
      <w:sz w:val="20"/>
      <w:szCs w:val="20"/>
    </w:rPr>
  </w:style>
  <w:style w:type="paragraph" w:styleId="9">
    <w:name w:val="Body Text Indent 2"/>
    <w:basedOn w:val="1"/>
    <w:link w:val="70"/>
    <w:qFormat/>
    <w:uiPriority w:val="0"/>
    <w:pPr>
      <w:ind w:hanging="2"/>
      <w:jc w:val="left"/>
    </w:pPr>
    <w:rPr>
      <w:rFonts w:ascii="Times New Roman" w:hAnsi="Times New Roman"/>
      <w:kern w:val="0"/>
      <w:sz w:val="20"/>
      <w:szCs w:val="24"/>
    </w:rPr>
  </w:style>
  <w:style w:type="paragraph" w:styleId="10">
    <w:name w:val="Balloon Text"/>
    <w:basedOn w:val="1"/>
    <w:link w:val="59"/>
    <w:qFormat/>
    <w:uiPriority w:val="0"/>
    <w:rPr>
      <w:kern w:val="0"/>
      <w:sz w:val="18"/>
      <w:szCs w:val="18"/>
    </w:rPr>
  </w:style>
  <w:style w:type="paragraph" w:styleId="11">
    <w:name w:val="footer"/>
    <w:basedOn w:val="1"/>
    <w:link w:val="73"/>
    <w:qFormat/>
    <w:uiPriority w:val="0"/>
    <w:pPr>
      <w:tabs>
        <w:tab w:val="center" w:pos="4153"/>
        <w:tab w:val="right" w:pos="8306"/>
      </w:tabs>
      <w:snapToGrid w:val="0"/>
      <w:jc w:val="left"/>
    </w:pPr>
    <w:rPr>
      <w:kern w:val="0"/>
      <w:sz w:val="18"/>
      <w:szCs w:val="18"/>
    </w:rPr>
  </w:style>
  <w:style w:type="paragraph" w:styleId="12">
    <w:name w:val="header"/>
    <w:basedOn w:val="1"/>
    <w:link w:val="6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footnote text"/>
    <w:basedOn w:val="1"/>
    <w:link w:val="60"/>
    <w:qFormat/>
    <w:uiPriority w:val="0"/>
    <w:pPr>
      <w:snapToGrid w:val="0"/>
      <w:jc w:val="left"/>
    </w:pPr>
    <w:rPr>
      <w:rFonts w:ascii="Times New Roman" w:hAnsi="Times New Roman"/>
      <w:kern w:val="0"/>
      <w:sz w:val="18"/>
      <w:szCs w:val="18"/>
    </w:rPr>
  </w:style>
  <w:style w:type="paragraph" w:styleId="14">
    <w:name w:val="annotation subject"/>
    <w:basedOn w:val="8"/>
    <w:next w:val="8"/>
    <w:link w:val="67"/>
    <w:qFormat/>
    <w:uiPriority w:val="0"/>
    <w:rPr>
      <w:rFonts w:ascii="Calibri" w:hAnsi="Calibri"/>
      <w:b/>
      <w:bCs/>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hint="default" w:ascii="Times New Roman" w:hAnsi="Times New Roman" w:eastAsia="宋体" w:cs="Times New Roman"/>
      <w:b/>
      <w:bCs/>
    </w:rPr>
  </w:style>
  <w:style w:type="character" w:styleId="19">
    <w:name w:val="Emphasis"/>
    <w:qFormat/>
    <w:uiPriority w:val="0"/>
    <w:rPr>
      <w:rFonts w:hint="default" w:ascii="Times New Roman" w:hAnsi="Times New Roman" w:eastAsia="宋体" w:cs="Times New Roman"/>
      <w:color w:val="CC0000"/>
    </w:rPr>
  </w:style>
  <w:style w:type="character" w:styleId="20">
    <w:name w:val="annotation reference"/>
    <w:qFormat/>
    <w:uiPriority w:val="0"/>
    <w:rPr>
      <w:sz w:val="21"/>
      <w:szCs w:val="21"/>
    </w:rPr>
  </w:style>
  <w:style w:type="paragraph" w:customStyle="1" w:styleId="21">
    <w:name w:val="二级无标题条"/>
    <w:basedOn w:val="1"/>
    <w:qFormat/>
    <w:uiPriority w:val="0"/>
    <w:pPr>
      <w:numPr>
        <w:ilvl w:val="3"/>
        <w:numId w:val="1"/>
      </w:numPr>
    </w:pPr>
    <w:rPr>
      <w:rFonts w:ascii="Times New Roman" w:hAnsi="Times New Roman"/>
      <w:szCs w:val="24"/>
    </w:rPr>
  </w:style>
  <w:style w:type="paragraph" w:customStyle="1" w:styleId="22">
    <w:name w:val="一级条标题"/>
    <w:basedOn w:val="23"/>
    <w:next w:val="24"/>
    <w:qFormat/>
    <w:uiPriority w:val="0"/>
    <w:pPr>
      <w:numPr>
        <w:ilvl w:val="0"/>
        <w:numId w:val="0"/>
      </w:numPr>
      <w:outlineLvl w:val="2"/>
    </w:pPr>
    <w:rPr>
      <w:rFonts w:ascii="Times New Roman" w:eastAsia="宋体"/>
    </w:rPr>
  </w:style>
  <w:style w:type="paragraph" w:customStyle="1" w:styleId="23">
    <w:name w:val="章标题"/>
    <w:next w:val="24"/>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4">
    <w:name w:val="段"/>
    <w:link w:val="56"/>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customStyle="1" w:styleId="25">
    <w:name w:val="注：（正文）"/>
    <w:basedOn w:val="1"/>
    <w:next w:val="1"/>
    <w:qFormat/>
    <w:uiPriority w:val="0"/>
    <w:pPr>
      <w:autoSpaceDE w:val="0"/>
      <w:autoSpaceDN w:val="0"/>
    </w:pPr>
    <w:rPr>
      <w:rFonts w:ascii="宋体" w:hAnsi="Times New Roman"/>
      <w:kern w:val="0"/>
      <w:sz w:val="18"/>
      <w:szCs w:val="18"/>
    </w:rPr>
  </w:style>
  <w:style w:type="paragraph" w:customStyle="1" w:styleId="26">
    <w:name w:val="三级条标题"/>
    <w:basedOn w:val="27"/>
    <w:next w:val="24"/>
    <w:qFormat/>
    <w:uiPriority w:val="0"/>
    <w:pPr>
      <w:outlineLvl w:val="4"/>
    </w:pPr>
  </w:style>
  <w:style w:type="paragraph" w:customStyle="1" w:styleId="27">
    <w:name w:val="二级条标题"/>
    <w:basedOn w:val="22"/>
    <w:next w:val="24"/>
    <w:qFormat/>
    <w:uiPriority w:val="0"/>
    <w:pPr>
      <w:outlineLvl w:val="3"/>
    </w:pPr>
  </w:style>
  <w:style w:type="paragraph" w:customStyle="1" w:styleId="28">
    <w:name w:val="五级条标题"/>
    <w:basedOn w:val="29"/>
    <w:next w:val="24"/>
    <w:qFormat/>
    <w:uiPriority w:val="0"/>
    <w:pPr>
      <w:outlineLvl w:val="6"/>
    </w:pPr>
  </w:style>
  <w:style w:type="paragraph" w:customStyle="1" w:styleId="29">
    <w:name w:val="四级条标题"/>
    <w:basedOn w:val="26"/>
    <w:next w:val="24"/>
    <w:qFormat/>
    <w:uiPriority w:val="0"/>
    <w:pPr>
      <w:outlineLvl w:val="5"/>
    </w:pPr>
  </w:style>
  <w:style w:type="paragraph" w:customStyle="1" w:styleId="30">
    <w:name w:val="列出段落1"/>
    <w:basedOn w:val="1"/>
    <w:link w:val="72"/>
    <w:qFormat/>
    <w:uiPriority w:val="0"/>
    <w:pPr>
      <w:ind w:firstLine="420" w:firstLineChars="200"/>
    </w:pPr>
    <w:rPr>
      <w:rFonts w:ascii="Times New Roman" w:hAnsi="Times New Roman"/>
      <w:kern w:val="0"/>
      <w:sz w:val="20"/>
      <w:szCs w:val="20"/>
    </w:rPr>
  </w:style>
  <w:style w:type="paragraph" w:customStyle="1" w:styleId="31">
    <w:name w:val="附录一级条标题"/>
    <w:basedOn w:val="32"/>
    <w:next w:val="24"/>
    <w:qFormat/>
    <w:uiPriority w:val="0"/>
    <w:pPr>
      <w:numPr>
        <w:ilvl w:val="2"/>
        <w:numId w:val="3"/>
      </w:numPr>
      <w:tabs>
        <w:tab w:val="left" w:pos="360"/>
      </w:tabs>
      <w:autoSpaceDN w:val="0"/>
      <w:spacing w:before="156" w:beforeLines="50" w:after="156" w:afterLines="50"/>
      <w:outlineLvl w:val="2"/>
    </w:pPr>
  </w:style>
  <w:style w:type="paragraph" w:customStyle="1" w:styleId="32">
    <w:name w:val="附录章标题"/>
    <w:next w:val="24"/>
    <w:qFormat/>
    <w:uiPriority w:val="0"/>
    <w:pPr>
      <w:numPr>
        <w:ilvl w:val="1"/>
        <w:numId w:val="3"/>
      </w:numPr>
      <w:wordWrap w:val="0"/>
      <w:overflowPunct w:val="0"/>
      <w:autoSpaceDE w:val="0"/>
      <w:spacing w:before="312" w:beforeLines="100" w:after="312" w:afterLines="100"/>
      <w:jc w:val="both"/>
      <w:outlineLvl w:val="1"/>
    </w:pPr>
    <w:rPr>
      <w:rFonts w:ascii="黑体" w:hAnsi="Times New Roman" w:eastAsia="黑体" w:cs="Times New Roman"/>
      <w:kern w:val="21"/>
      <w:sz w:val="21"/>
      <w:lang w:val="en-US" w:eastAsia="zh-CN" w:bidi="ar-SA"/>
    </w:rPr>
  </w:style>
  <w:style w:type="paragraph" w:customStyle="1" w:styleId="33">
    <w:name w:val="附录五级条标题"/>
    <w:basedOn w:val="34"/>
    <w:next w:val="24"/>
    <w:qFormat/>
    <w:uiPriority w:val="0"/>
    <w:pPr>
      <w:tabs>
        <w:tab w:val="left" w:pos="360"/>
      </w:tabs>
      <w:outlineLvl w:val="6"/>
    </w:pPr>
  </w:style>
  <w:style w:type="paragraph" w:customStyle="1" w:styleId="34">
    <w:name w:val="附录四级条标题"/>
    <w:basedOn w:val="35"/>
    <w:next w:val="24"/>
    <w:qFormat/>
    <w:uiPriority w:val="0"/>
    <w:pPr>
      <w:tabs>
        <w:tab w:val="left" w:pos="360"/>
      </w:tabs>
      <w:outlineLvl w:val="5"/>
    </w:pPr>
  </w:style>
  <w:style w:type="paragraph" w:customStyle="1" w:styleId="35">
    <w:name w:val="附录三级条标题"/>
    <w:basedOn w:val="36"/>
    <w:next w:val="24"/>
    <w:qFormat/>
    <w:uiPriority w:val="0"/>
    <w:pPr>
      <w:numPr>
        <w:ilvl w:val="4"/>
        <w:numId w:val="3"/>
      </w:numPr>
      <w:tabs>
        <w:tab w:val="left" w:pos="360"/>
      </w:tabs>
      <w:outlineLvl w:val="4"/>
    </w:pPr>
  </w:style>
  <w:style w:type="paragraph" w:customStyle="1" w:styleId="36">
    <w:name w:val="附录二级条标题"/>
    <w:basedOn w:val="1"/>
    <w:next w:val="24"/>
    <w:qFormat/>
    <w:uiPriority w:val="0"/>
    <w:pPr>
      <w:widowControl/>
      <w:numPr>
        <w:ilvl w:val="3"/>
        <w:numId w:val="3"/>
      </w:numPr>
      <w:tabs>
        <w:tab w:val="left" w:pos="360"/>
      </w:tabs>
      <w:wordWrap w:val="0"/>
      <w:overflowPunct w:val="0"/>
      <w:autoSpaceDE w:val="0"/>
      <w:autoSpaceDN w:val="0"/>
      <w:spacing w:before="156" w:beforeLines="50" w:after="156" w:afterLines="50"/>
      <w:outlineLvl w:val="3"/>
    </w:pPr>
    <w:rPr>
      <w:rFonts w:ascii="黑体" w:hAnsi="Times New Roman" w:eastAsia="黑体"/>
      <w:kern w:val="21"/>
      <w:szCs w:val="20"/>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List Paragraph"/>
    <w:basedOn w:val="1"/>
    <w:qFormat/>
    <w:uiPriority w:val="0"/>
    <w:pPr>
      <w:ind w:firstLine="420"/>
    </w:pPr>
  </w:style>
  <w:style w:type="paragraph" w:customStyle="1" w:styleId="39">
    <w:name w:val="文档结构图1"/>
    <w:basedOn w:val="1"/>
    <w:qFormat/>
    <w:uiPriority w:val="0"/>
    <w:pPr>
      <w:shd w:val="clear" w:color="auto" w:fill="000080"/>
    </w:pPr>
    <w:rPr>
      <w:rFonts w:ascii="Times New Roman" w:hAnsi="Times New Roman"/>
    </w:rPr>
  </w:style>
  <w:style w:type="paragraph" w:customStyle="1" w:styleId="40">
    <w:name w:val="注×：（正文）"/>
    <w:qFormat/>
    <w:uiPriority w:val="0"/>
    <w:pPr>
      <w:jc w:val="both"/>
    </w:pPr>
    <w:rPr>
      <w:rFonts w:ascii="宋体" w:hAnsi="Times New Roman" w:eastAsia="宋体" w:cs="Times New Roman"/>
      <w:sz w:val="18"/>
      <w:szCs w:val="18"/>
      <w:lang w:val="en-US" w:eastAsia="zh-CN" w:bidi="ar-SA"/>
    </w:rPr>
  </w:style>
  <w:style w:type="paragraph" w:customStyle="1" w:styleId="41">
    <w:name w:val="图表脚注"/>
    <w:next w:val="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2">
    <w:name w:val="_Style 39"/>
    <w:unhideWhenUsed/>
    <w:qFormat/>
    <w:uiPriority w:val="99"/>
    <w:rPr>
      <w:rFonts w:ascii="Times New Roman" w:hAnsi="Times New Roman" w:eastAsia="宋体" w:cs="Times New Roman"/>
      <w:kern w:val="2"/>
      <w:sz w:val="21"/>
      <w:szCs w:val="22"/>
      <w:lang w:val="en-US" w:eastAsia="zh-CN" w:bidi="ar-SA"/>
    </w:rPr>
  </w:style>
  <w:style w:type="paragraph" w:customStyle="1" w:styleId="43">
    <w:name w:val="修订1"/>
    <w:qFormat/>
    <w:uiPriority w:val="0"/>
    <w:rPr>
      <w:rFonts w:ascii="Times New Roman" w:hAnsi="Times New Roman" w:eastAsia="宋体" w:cs="Times New Roman"/>
      <w:kern w:val="2"/>
      <w:sz w:val="21"/>
      <w:szCs w:val="22"/>
      <w:lang w:val="en-US" w:eastAsia="zh-CN" w:bidi="ar-SA"/>
    </w:rPr>
  </w:style>
  <w:style w:type="paragraph" w:customStyle="1" w:styleId="44">
    <w:name w:val="列出段落2"/>
    <w:basedOn w:val="1"/>
    <w:qFormat/>
    <w:uiPriority w:val="99"/>
    <w:pPr>
      <w:ind w:firstLine="420" w:firstLineChars="200"/>
    </w:pPr>
    <w:rPr>
      <w:rFonts w:cs="黑体"/>
    </w:rPr>
  </w:style>
  <w:style w:type="paragraph" w:customStyle="1" w:styleId="45">
    <w:name w:val="一级无标题条"/>
    <w:basedOn w:val="1"/>
    <w:qFormat/>
    <w:uiPriority w:val="0"/>
    <w:pPr>
      <w:numPr>
        <w:ilvl w:val="2"/>
        <w:numId w:val="1"/>
      </w:numPr>
    </w:pPr>
    <w:rPr>
      <w:rFonts w:ascii="Times New Roman" w:hAnsi="Times New Roman"/>
      <w:szCs w:val="24"/>
    </w:rPr>
  </w:style>
  <w:style w:type="paragraph" w:customStyle="1" w:styleId="46">
    <w:name w:val="五级无标题条"/>
    <w:basedOn w:val="1"/>
    <w:qFormat/>
    <w:uiPriority w:val="0"/>
    <w:pPr>
      <w:numPr>
        <w:ilvl w:val="6"/>
        <w:numId w:val="1"/>
      </w:numPr>
    </w:pPr>
    <w:rPr>
      <w:rFonts w:ascii="Times New Roman" w:hAnsi="Times New Roman"/>
      <w:szCs w:val="24"/>
    </w:rPr>
  </w:style>
  <w:style w:type="paragraph" w:customStyle="1" w:styleId="47">
    <w:name w:val="附录标识"/>
    <w:basedOn w:val="1"/>
    <w:next w:val="24"/>
    <w:qFormat/>
    <w:uiPriority w:val="0"/>
    <w:pPr>
      <w:keepNext/>
      <w:widowControl/>
      <w:numPr>
        <w:ilvl w:val="0"/>
        <w:numId w:val="3"/>
      </w:numPr>
      <w:shd w:val="clear" w:color="auto" w:fill="FFFFFF"/>
      <w:tabs>
        <w:tab w:val="left" w:pos="6405"/>
      </w:tabs>
      <w:spacing w:before="640" w:beforeLines="0" w:after="280" w:afterLines="0"/>
      <w:jc w:val="center"/>
      <w:outlineLvl w:val="0"/>
    </w:pPr>
    <w:rPr>
      <w:rFonts w:ascii="黑体" w:hAnsi="Times New Roman" w:eastAsia="黑体"/>
      <w:kern w:val="0"/>
      <w:szCs w:val="20"/>
    </w:rPr>
  </w:style>
  <w:style w:type="paragraph" w:customStyle="1" w:styleId="48">
    <w:name w:val="正文表标题"/>
    <w:next w:val="24"/>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49">
    <w:name w:val="三级无标题条"/>
    <w:basedOn w:val="1"/>
    <w:qFormat/>
    <w:uiPriority w:val="0"/>
    <w:pPr>
      <w:numPr>
        <w:ilvl w:val="4"/>
        <w:numId w:val="1"/>
      </w:numPr>
    </w:pPr>
    <w:rPr>
      <w:rFonts w:ascii="Times New Roman" w:hAnsi="Times New Roman"/>
      <w:szCs w:val="24"/>
    </w:rPr>
  </w:style>
  <w:style w:type="paragraph" w:customStyle="1" w:styleId="50">
    <w:name w:val="终结线"/>
    <w:basedOn w:val="1"/>
    <w:qFormat/>
    <w:uiPriority w:val="0"/>
    <w:rPr>
      <w:rFonts w:ascii="Times New Roman" w:hAnsi="Times New Roman"/>
      <w:szCs w:val="24"/>
    </w:rPr>
  </w:style>
  <w:style w:type="paragraph" w:customStyle="1" w:styleId="51">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2">
    <w:name w:val="四级无标题条"/>
    <w:basedOn w:val="1"/>
    <w:qFormat/>
    <w:uiPriority w:val="0"/>
    <w:pPr>
      <w:numPr>
        <w:ilvl w:val="5"/>
        <w:numId w:val="1"/>
      </w:numPr>
    </w:pPr>
    <w:rPr>
      <w:rFonts w:ascii="Times New Roman" w:hAnsi="Times New Roman"/>
      <w:szCs w:val="24"/>
    </w:rPr>
  </w:style>
  <w:style w:type="paragraph" w:customStyle="1" w:styleId="53">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附录公式编号制表符"/>
    <w:basedOn w:val="1"/>
    <w:next w:val="24"/>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55">
    <w:name w:val="批注主题1"/>
    <w:basedOn w:val="8"/>
    <w:next w:val="8"/>
    <w:link w:val="65"/>
    <w:qFormat/>
    <w:uiPriority w:val="0"/>
    <w:rPr>
      <w:b/>
      <w:bCs/>
    </w:rPr>
  </w:style>
  <w:style w:type="character" w:customStyle="1" w:styleId="56">
    <w:name w:val="段 Char"/>
    <w:link w:val="24"/>
    <w:qFormat/>
    <w:uiPriority w:val="0"/>
    <w:rPr>
      <w:rFonts w:ascii="宋体" w:hAnsi="宋体"/>
      <w:kern w:val="2"/>
      <w:sz w:val="21"/>
      <w:szCs w:val="22"/>
      <w:lang w:val="en-US" w:eastAsia="zh-CN" w:bidi="ar-SA"/>
    </w:rPr>
  </w:style>
  <w:style w:type="character" w:customStyle="1" w:styleId="57">
    <w:name w:val="批注文字 字符"/>
    <w:link w:val="8"/>
    <w:qFormat/>
    <w:uiPriority w:val="0"/>
    <w:rPr>
      <w:rFonts w:ascii="Times New Roman" w:hAnsi="Times New Roman" w:eastAsia="宋体"/>
    </w:rPr>
  </w:style>
  <w:style w:type="character" w:customStyle="1" w:styleId="58">
    <w:name w:val="apple-style-span"/>
    <w:qFormat/>
    <w:uiPriority w:val="0"/>
    <w:rPr>
      <w:rFonts w:hint="default" w:ascii="Times New Roman" w:hAnsi="Times New Roman" w:eastAsia="宋体" w:cs="Times New Roman"/>
    </w:rPr>
  </w:style>
  <w:style w:type="character" w:customStyle="1" w:styleId="59">
    <w:name w:val="批注框文本 字符"/>
    <w:link w:val="10"/>
    <w:qFormat/>
    <w:uiPriority w:val="0"/>
    <w:rPr>
      <w:rFonts w:ascii="Calibri" w:hAnsi="Calibri" w:eastAsia="宋体" w:cs="Times New Roman"/>
      <w:sz w:val="18"/>
      <w:szCs w:val="18"/>
    </w:rPr>
  </w:style>
  <w:style w:type="character" w:customStyle="1" w:styleId="60">
    <w:name w:val="脚注文本 字符"/>
    <w:link w:val="13"/>
    <w:qFormat/>
    <w:uiPriority w:val="0"/>
    <w:rPr>
      <w:rFonts w:ascii="Times New Roman" w:hAnsi="Times New Roman" w:eastAsia="宋体"/>
      <w:sz w:val="18"/>
      <w:szCs w:val="18"/>
    </w:rPr>
  </w:style>
  <w:style w:type="character" w:customStyle="1" w:styleId="61">
    <w:name w:val="页眉 字符"/>
    <w:link w:val="12"/>
    <w:qFormat/>
    <w:uiPriority w:val="0"/>
    <w:rPr>
      <w:sz w:val="18"/>
      <w:szCs w:val="18"/>
    </w:rPr>
  </w:style>
  <w:style w:type="character" w:customStyle="1" w:styleId="62">
    <w:name w:val="标题 3 字符"/>
    <w:link w:val="6"/>
    <w:qFormat/>
    <w:uiPriority w:val="0"/>
    <w:rPr>
      <w:rFonts w:ascii="Times New Roman" w:hAnsi="Times New Roman" w:eastAsia="宋体" w:cs="Times New Roman"/>
      <w:b/>
      <w:bCs/>
      <w:sz w:val="32"/>
      <w:szCs w:val="32"/>
    </w:rPr>
  </w:style>
  <w:style w:type="character" w:customStyle="1" w:styleId="63">
    <w:name w:val="标题 1 字符"/>
    <w:link w:val="4"/>
    <w:qFormat/>
    <w:uiPriority w:val="0"/>
    <w:rPr>
      <w:rFonts w:ascii="Times New Roman" w:hAnsi="Times New Roman" w:eastAsia="宋体" w:cs="Times New Roman"/>
      <w:b/>
      <w:bCs/>
      <w:kern w:val="44"/>
      <w:sz w:val="44"/>
      <w:szCs w:val="44"/>
    </w:rPr>
  </w:style>
  <w:style w:type="character" w:customStyle="1" w:styleId="64">
    <w:name w:val="apple-converted-space"/>
    <w:qFormat/>
    <w:uiPriority w:val="0"/>
    <w:rPr>
      <w:rFonts w:hint="default" w:ascii="Times New Roman" w:hAnsi="Times New Roman" w:eastAsia="宋体" w:cs="Times New Roman"/>
    </w:rPr>
  </w:style>
  <w:style w:type="character" w:customStyle="1" w:styleId="65">
    <w:name w:val="批注主题 Char"/>
    <w:link w:val="55"/>
    <w:qFormat/>
    <w:uiPriority w:val="0"/>
    <w:rPr>
      <w:rFonts w:ascii="Times New Roman" w:hAnsi="Times New Roman" w:eastAsia="宋体"/>
      <w:b/>
      <w:bCs/>
    </w:rPr>
  </w:style>
  <w:style w:type="character" w:customStyle="1" w:styleId="66">
    <w:name w:val="批注引用1"/>
    <w:qFormat/>
    <w:uiPriority w:val="0"/>
    <w:rPr>
      <w:rFonts w:hint="default" w:ascii="Times New Roman" w:hAnsi="Times New Roman" w:eastAsia="宋体" w:cs="Times New Roman"/>
      <w:sz w:val="21"/>
      <w:szCs w:val="21"/>
    </w:rPr>
  </w:style>
  <w:style w:type="character" w:customStyle="1" w:styleId="67">
    <w:name w:val="批注主题 字符"/>
    <w:link w:val="14"/>
    <w:qFormat/>
    <w:uiPriority w:val="0"/>
    <w:rPr>
      <w:rFonts w:ascii="Calibri" w:hAnsi="Calibri" w:eastAsia="宋体"/>
      <w:b/>
      <w:bCs/>
    </w:rPr>
  </w:style>
  <w:style w:type="character" w:customStyle="1" w:styleId="68">
    <w:name w:val="标题 2 字符"/>
    <w:link w:val="5"/>
    <w:qFormat/>
    <w:uiPriority w:val="0"/>
    <w:rPr>
      <w:rFonts w:ascii="Calibri Light" w:hAnsi="Calibri Light" w:eastAsia="宋体" w:cs="Times New Roman"/>
      <w:b/>
      <w:bCs/>
      <w:sz w:val="32"/>
      <w:szCs w:val="32"/>
    </w:rPr>
  </w:style>
  <w:style w:type="character" w:customStyle="1" w:styleId="69">
    <w:name w:val="页码1"/>
    <w:qFormat/>
    <w:uiPriority w:val="0"/>
    <w:rPr>
      <w:rFonts w:hint="default" w:ascii="Times New Roman" w:hAnsi="Times New Roman" w:eastAsia="宋体" w:cs="Times New Roman"/>
    </w:rPr>
  </w:style>
  <w:style w:type="character" w:customStyle="1" w:styleId="70">
    <w:name w:val="正文文本缩进 2 字符"/>
    <w:link w:val="9"/>
    <w:qFormat/>
    <w:uiPriority w:val="0"/>
    <w:rPr>
      <w:rFonts w:ascii="Times New Roman" w:hAnsi="Times New Roman" w:eastAsia="宋体" w:cs="Times New Roman"/>
      <w:szCs w:val="24"/>
    </w:rPr>
  </w:style>
  <w:style w:type="character" w:customStyle="1" w:styleId="71">
    <w:name w:val="占位符文本1"/>
    <w:qFormat/>
    <w:uiPriority w:val="0"/>
    <w:rPr>
      <w:rFonts w:hint="default" w:ascii="Times New Roman" w:hAnsi="Times New Roman" w:eastAsia="宋体" w:cs="Times New Roman"/>
      <w:color w:val="808080"/>
    </w:rPr>
  </w:style>
  <w:style w:type="character" w:customStyle="1" w:styleId="72">
    <w:name w:val="列出段落 Char"/>
    <w:link w:val="30"/>
    <w:qFormat/>
    <w:uiPriority w:val="0"/>
    <w:rPr>
      <w:rFonts w:ascii="Times New Roman" w:hAnsi="Times New Roman" w:eastAsia="宋体" w:cs="Times New Roman"/>
    </w:rPr>
  </w:style>
  <w:style w:type="character" w:customStyle="1" w:styleId="73">
    <w:name w:val="页脚 字符"/>
    <w:link w:val="11"/>
    <w:qFormat/>
    <w:uiPriority w:val="0"/>
    <w:rPr>
      <w:sz w:val="18"/>
      <w:szCs w:val="18"/>
    </w:rPr>
  </w:style>
  <w:style w:type="character" w:customStyle="1" w:styleId="74">
    <w:name w:val="文档结构图 字符"/>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22.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30</Pages>
  <Words>6940</Words>
  <Characters>7808</Characters>
  <Lines>68</Lines>
  <Paragraphs>19</Paragraphs>
  <TotalTime>0</TotalTime>
  <ScaleCrop>false</ScaleCrop>
  <LinksUpToDate>false</LinksUpToDate>
  <CharactersWithSpaces>8159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2019-11-27T10:11:00Z</dcterms:created>
  <dc:creator>白岩</dc:creator>
  <cp:lastModifiedBy>ht-706</cp:lastModifiedBy>
  <cp:lastPrinted>2024-04-28T08:39:00Z</cp:lastPrinted>
  <dcterms:modified xsi:type="dcterms:W3CDTF">2024-06-28T14:34:56Z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